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121B" w14:textId="77777777" w:rsidR="00591199" w:rsidRPr="00872BBF" w:rsidRDefault="00A46D7A" w:rsidP="00591199">
      <w:pPr>
        <w:pStyle w:val="BodyText"/>
        <w:rPr>
          <w:lang w:val="en-GB"/>
        </w:rPr>
      </w:pPr>
      <w:r w:rsidRPr="00872BBF">
        <w:rPr>
          <w:rFonts w:ascii="Times New Roman"/>
          <w:noProof/>
          <w:lang w:val="en-GB"/>
        </w:rPr>
        <mc:AlternateContent>
          <mc:Choice Requires="wps">
            <w:drawing>
              <wp:inline distT="0" distB="0" distL="0" distR="0" wp14:anchorId="3994173F" wp14:editId="014C9F10">
                <wp:extent cx="5905500" cy="871671"/>
                <wp:effectExtent l="0" t="0" r="12700" b="17780"/>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0" cy="87167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2A69B7" w14:textId="77777777" w:rsidR="00A46D7A" w:rsidRPr="00591199" w:rsidRDefault="00A46D7A" w:rsidP="00A46D7A">
                            <w:pPr>
                              <w:pStyle w:val="BodyText"/>
                              <w:spacing w:before="120"/>
                              <w:ind w:left="1310" w:right="1310" w:firstLine="953"/>
                              <w:rPr>
                                <w:spacing w:val="1"/>
                                <w:lang w:val="en-US"/>
                              </w:rPr>
                            </w:pPr>
                            <w:r w:rsidRPr="00591199">
                              <w:rPr>
                                <w:lang w:val="en-US"/>
                              </w:rPr>
                              <w:t>This</w:t>
                            </w:r>
                            <w:r w:rsidRPr="00591199">
                              <w:rPr>
                                <w:spacing w:val="2"/>
                                <w:lang w:val="en-US"/>
                              </w:rPr>
                              <w:t xml:space="preserve"> </w:t>
                            </w:r>
                            <w:r w:rsidRPr="00591199">
                              <w:rPr>
                                <w:lang w:val="en-US"/>
                              </w:rPr>
                              <w:t>is</w:t>
                            </w:r>
                            <w:r w:rsidRPr="00591199">
                              <w:rPr>
                                <w:spacing w:val="2"/>
                                <w:lang w:val="en-US"/>
                              </w:rPr>
                              <w:t xml:space="preserve"> </w:t>
                            </w:r>
                            <w:r w:rsidRPr="00591199">
                              <w:rPr>
                                <w:lang w:val="en-US"/>
                              </w:rPr>
                              <w:t>a</w:t>
                            </w:r>
                            <w:r w:rsidRPr="00591199">
                              <w:rPr>
                                <w:spacing w:val="2"/>
                                <w:lang w:val="en-US"/>
                              </w:rPr>
                              <w:t xml:space="preserve"> </w:t>
                            </w:r>
                            <w:r w:rsidRPr="00591199">
                              <w:rPr>
                                <w:lang w:val="en-US"/>
                              </w:rPr>
                              <w:t>translation</w:t>
                            </w:r>
                            <w:r w:rsidRPr="00591199">
                              <w:rPr>
                                <w:spacing w:val="1"/>
                                <w:lang w:val="en-US"/>
                              </w:rPr>
                              <w:t xml:space="preserve"> </w:t>
                            </w:r>
                            <w:r w:rsidRPr="00591199">
                              <w:rPr>
                                <w:lang w:val="en-US"/>
                              </w:rPr>
                              <w:t>of</w:t>
                            </w:r>
                            <w:r w:rsidRPr="00591199">
                              <w:rPr>
                                <w:spacing w:val="2"/>
                                <w:lang w:val="en-US"/>
                              </w:rPr>
                              <w:t xml:space="preserve"> </w:t>
                            </w:r>
                            <w:r w:rsidRPr="00591199">
                              <w:rPr>
                                <w:lang w:val="en-US"/>
                              </w:rPr>
                              <w:t>the</w:t>
                            </w:r>
                            <w:r w:rsidRPr="00591199">
                              <w:rPr>
                                <w:spacing w:val="3"/>
                                <w:lang w:val="en-US"/>
                              </w:rPr>
                              <w:t xml:space="preserve"> </w:t>
                            </w:r>
                            <w:r w:rsidRPr="00591199">
                              <w:rPr>
                                <w:lang w:val="en-US"/>
                              </w:rPr>
                              <w:t>official</w:t>
                            </w:r>
                            <w:r w:rsidRPr="00591199">
                              <w:rPr>
                                <w:spacing w:val="1"/>
                                <w:lang w:val="en-US"/>
                              </w:rPr>
                              <w:t xml:space="preserve"> </w:t>
                            </w:r>
                            <w:r w:rsidRPr="00591199">
                              <w:rPr>
                                <w:lang w:val="en-US"/>
                              </w:rPr>
                              <w:t>German</w:t>
                            </w:r>
                            <w:r w:rsidRPr="00591199">
                              <w:rPr>
                                <w:spacing w:val="3"/>
                                <w:lang w:val="en-US"/>
                              </w:rPr>
                              <w:t xml:space="preserve"> </w:t>
                            </w:r>
                            <w:r w:rsidRPr="00591199">
                              <w:rPr>
                                <w:lang w:val="en-US"/>
                              </w:rPr>
                              <w:t>document</w:t>
                            </w:r>
                            <w:r w:rsidRPr="00591199">
                              <w:rPr>
                                <w:spacing w:val="1"/>
                                <w:lang w:val="en-US"/>
                              </w:rPr>
                              <w:t xml:space="preserve"> </w:t>
                            </w:r>
                          </w:p>
                          <w:p w14:paraId="01263347" w14:textId="6E2292FF" w:rsidR="00A46D7A" w:rsidRPr="001729AD" w:rsidRDefault="00A46D7A" w:rsidP="00A46D7A">
                            <w:pPr>
                              <w:pStyle w:val="Style4"/>
                              <w:widowControl/>
                              <w:spacing w:before="40" w:after="40" w:line="240" w:lineRule="auto"/>
                              <w:jc w:val="center"/>
                              <w:rPr>
                                <w:rStyle w:val="FontStyle12"/>
                              </w:rPr>
                            </w:pPr>
                            <w:r w:rsidRPr="001729AD">
                              <w:rPr>
                                <w:rStyle w:val="FontStyle11"/>
                              </w:rPr>
                              <w:t xml:space="preserve">(APPENDIX </w:t>
                            </w:r>
                            <w:r>
                              <w:rPr>
                                <w:rStyle w:val="FontStyle11"/>
                              </w:rPr>
                              <w:t>1</w:t>
                            </w:r>
                            <w:r w:rsidRPr="001729AD">
                              <w:rPr>
                                <w:rStyle w:val="FontStyle12"/>
                              </w:rPr>
                              <w:t xml:space="preserve"> to the university bulletin issue </w:t>
                            </w:r>
                            <w:r w:rsidR="00746FD2">
                              <w:rPr>
                                <w:rStyle w:val="FontStyle12"/>
                              </w:rPr>
                              <w:t>5</w:t>
                            </w:r>
                            <w:r>
                              <w:rPr>
                                <w:rStyle w:val="FontStyle12"/>
                              </w:rPr>
                              <w:t xml:space="preserve">, No. </w:t>
                            </w:r>
                            <w:r w:rsidR="00746FD2">
                              <w:rPr>
                                <w:rStyle w:val="FontStyle12"/>
                              </w:rPr>
                              <w:t>19</w:t>
                            </w:r>
                            <w:r>
                              <w:rPr>
                                <w:rStyle w:val="FontStyle12"/>
                              </w:rPr>
                              <w:t>.1</w:t>
                            </w:r>
                            <w:r w:rsidRPr="001729AD">
                              <w:rPr>
                                <w:rStyle w:val="FontStyle12"/>
                              </w:rPr>
                              <w:t xml:space="preserve"> – 202</w:t>
                            </w:r>
                            <w:r w:rsidR="00EF4D4E">
                              <w:rPr>
                                <w:rStyle w:val="FontStyle12"/>
                              </w:rPr>
                              <w:t>1</w:t>
                            </w:r>
                            <w:r w:rsidRPr="001729AD">
                              <w:rPr>
                                <w:rStyle w:val="FontStyle12"/>
                              </w:rPr>
                              <w:t>/</w:t>
                            </w:r>
                            <w:r w:rsidR="00EF4D4E">
                              <w:rPr>
                                <w:rStyle w:val="FontStyle12"/>
                              </w:rPr>
                              <w:t>20</w:t>
                            </w:r>
                            <w:r w:rsidRPr="001729AD">
                              <w:rPr>
                                <w:rStyle w:val="FontStyle12"/>
                              </w:rPr>
                              <w:t>2</w:t>
                            </w:r>
                            <w:r w:rsidR="00EF4D4E">
                              <w:rPr>
                                <w:rStyle w:val="FontStyle12"/>
                              </w:rPr>
                              <w:t>2</w:t>
                            </w:r>
                            <w:r w:rsidRPr="001729AD">
                              <w:rPr>
                                <w:rStyle w:val="FontStyle12"/>
                              </w:rPr>
                              <w:t xml:space="preserve">, </w:t>
                            </w:r>
                            <w:r w:rsidR="00746FD2">
                              <w:rPr>
                                <w:rStyle w:val="FontStyle12"/>
                              </w:rPr>
                              <w:t>17</w:t>
                            </w:r>
                            <w:r w:rsidRPr="001729AD">
                              <w:rPr>
                                <w:rStyle w:val="FontStyle12"/>
                              </w:rPr>
                              <w:t>.</w:t>
                            </w:r>
                            <w:r w:rsidR="00EF4D4E">
                              <w:rPr>
                                <w:rStyle w:val="FontStyle12"/>
                              </w:rPr>
                              <w:t>11</w:t>
                            </w:r>
                            <w:r w:rsidRPr="001729AD">
                              <w:rPr>
                                <w:rStyle w:val="FontStyle12"/>
                              </w:rPr>
                              <w:t>.2021)</w:t>
                            </w:r>
                          </w:p>
                          <w:p w14:paraId="3189DB33" w14:textId="77777777" w:rsidR="00A46D7A" w:rsidRPr="001729AD" w:rsidRDefault="00A46D7A" w:rsidP="00A46D7A">
                            <w:pPr>
                              <w:pStyle w:val="Style4"/>
                              <w:widowControl/>
                              <w:spacing w:before="40" w:after="40" w:line="240" w:lineRule="auto"/>
                              <w:jc w:val="center"/>
                              <w:rPr>
                                <w:rStyle w:val="FontStyle12"/>
                              </w:rPr>
                            </w:pPr>
                          </w:p>
                          <w:p w14:paraId="10AAF40C" w14:textId="77777777" w:rsidR="00A46D7A" w:rsidRPr="00B97755" w:rsidRDefault="00A46D7A" w:rsidP="00A46D7A">
                            <w:pPr>
                              <w:widowControl/>
                              <w:autoSpaceDE/>
                              <w:autoSpaceDN/>
                              <w:spacing w:before="40" w:after="40"/>
                              <w:jc w:val="center"/>
                              <w:rPr>
                                <w:rFonts w:ascii="Times New Roman" w:eastAsia="Times New Roman" w:hAnsi="Times New Roman" w:cs="Times New Roman"/>
                                <w:b/>
                                <w:bCs/>
                                <w:u w:val="single"/>
                                <w:lang w:val="en-GB" w:eastAsia="en-GB"/>
                              </w:rPr>
                            </w:pPr>
                            <w:r w:rsidRPr="00B97755">
                              <w:rPr>
                                <w:rFonts w:eastAsia="Times New Roman"/>
                                <w:b/>
                                <w:bCs/>
                                <w:sz w:val="20"/>
                                <w:szCs w:val="20"/>
                                <w:u w:val="single"/>
                                <w:lang w:val="en-GB" w:eastAsia="en-GB"/>
                              </w:rPr>
                              <w:t>This document is provided for informational purposes only and is not legally binding!</w:t>
                            </w:r>
                          </w:p>
                          <w:p w14:paraId="0961180A" w14:textId="77777777" w:rsidR="00A46D7A" w:rsidRPr="00B97755" w:rsidRDefault="00A46D7A" w:rsidP="00A46D7A">
                            <w:pPr>
                              <w:pStyle w:val="BodyText"/>
                              <w:spacing w:before="18"/>
                              <w:ind w:left="1307" w:right="1311" w:firstLine="955"/>
                              <w:rPr>
                                <w:lang w:val="en-GB"/>
                              </w:rPr>
                            </w:pPr>
                          </w:p>
                        </w:txbxContent>
                      </wps:txbx>
                      <wps:bodyPr rot="0" vert="horz" wrap="square" lIns="0" tIns="0" rIns="0" bIns="0" anchor="t" anchorCtr="0" upright="1">
                        <a:noAutofit/>
                      </wps:bodyPr>
                    </wps:wsp>
                  </a:graphicData>
                </a:graphic>
              </wp:inline>
            </w:drawing>
          </mc:Choice>
          <mc:Fallback>
            <w:pict>
              <v:shapetype w14:anchorId="3994173F" id="_x0000_t202" coordsize="21600,21600" o:spt="202" path="m,l,21600r21600,l21600,xe">
                <v:stroke joinstyle="miter"/>
                <v:path gradientshapeok="t" o:connecttype="rect"/>
              </v:shapetype>
              <v:shape id="docshape2" o:spid="_x0000_s1026" type="#_x0000_t202" style="width:465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" filled="f" strokeweight=".48pt">
                <v:path arrowok="t"/>
                <v:textbox inset="0,0,0,0">
                  <w:txbxContent>
                    <w:p w14:paraId="072A69B7" w14:textId="77777777" w:rsidR="00A46D7A" w:rsidRPr="00591199" w:rsidRDefault="00A46D7A" w:rsidP="00A46D7A">
                      <w:pPr>
                        <w:pStyle w:val="BodyText"/>
                        <w:spacing w:before="120"/>
                        <w:ind w:left="1310" w:right="1310" w:firstLine="953"/>
                        <w:rPr>
                          <w:spacing w:val="1"/>
                          <w:lang w:val="en-US"/>
                        </w:rPr>
                      </w:pPr>
                      <w:r w:rsidRPr="00591199">
                        <w:rPr>
                          <w:lang w:val="en-US"/>
                        </w:rPr>
                        <w:t>This</w:t>
                      </w:r>
                      <w:r w:rsidRPr="00591199">
                        <w:rPr>
                          <w:spacing w:val="2"/>
                          <w:lang w:val="en-US"/>
                        </w:rPr>
                        <w:t xml:space="preserve"> </w:t>
                      </w:r>
                      <w:r w:rsidRPr="00591199">
                        <w:rPr>
                          <w:lang w:val="en-US"/>
                        </w:rPr>
                        <w:t>is</w:t>
                      </w:r>
                      <w:r w:rsidRPr="00591199">
                        <w:rPr>
                          <w:spacing w:val="2"/>
                          <w:lang w:val="en-US"/>
                        </w:rPr>
                        <w:t xml:space="preserve"> </w:t>
                      </w:r>
                      <w:r w:rsidRPr="00591199">
                        <w:rPr>
                          <w:lang w:val="en-US"/>
                        </w:rPr>
                        <w:t>a</w:t>
                      </w:r>
                      <w:r w:rsidRPr="00591199">
                        <w:rPr>
                          <w:spacing w:val="2"/>
                          <w:lang w:val="en-US"/>
                        </w:rPr>
                        <w:t xml:space="preserve"> </w:t>
                      </w:r>
                      <w:r w:rsidRPr="00591199">
                        <w:rPr>
                          <w:lang w:val="en-US"/>
                        </w:rPr>
                        <w:t>translation</w:t>
                      </w:r>
                      <w:r w:rsidRPr="00591199">
                        <w:rPr>
                          <w:spacing w:val="1"/>
                          <w:lang w:val="en-US"/>
                        </w:rPr>
                        <w:t xml:space="preserve"> </w:t>
                      </w:r>
                      <w:r w:rsidRPr="00591199">
                        <w:rPr>
                          <w:lang w:val="en-US"/>
                        </w:rPr>
                        <w:t>of</w:t>
                      </w:r>
                      <w:r w:rsidRPr="00591199">
                        <w:rPr>
                          <w:spacing w:val="2"/>
                          <w:lang w:val="en-US"/>
                        </w:rPr>
                        <w:t xml:space="preserve"> </w:t>
                      </w:r>
                      <w:r w:rsidRPr="00591199">
                        <w:rPr>
                          <w:lang w:val="en-US"/>
                        </w:rPr>
                        <w:t>the</w:t>
                      </w:r>
                      <w:r w:rsidRPr="00591199">
                        <w:rPr>
                          <w:spacing w:val="3"/>
                          <w:lang w:val="en-US"/>
                        </w:rPr>
                        <w:t xml:space="preserve"> </w:t>
                      </w:r>
                      <w:r w:rsidRPr="00591199">
                        <w:rPr>
                          <w:lang w:val="en-US"/>
                        </w:rPr>
                        <w:t>official</w:t>
                      </w:r>
                      <w:r w:rsidRPr="00591199">
                        <w:rPr>
                          <w:spacing w:val="1"/>
                          <w:lang w:val="en-US"/>
                        </w:rPr>
                        <w:t xml:space="preserve"> </w:t>
                      </w:r>
                      <w:r w:rsidRPr="00591199">
                        <w:rPr>
                          <w:lang w:val="en-US"/>
                        </w:rPr>
                        <w:t>German</w:t>
                      </w:r>
                      <w:r w:rsidRPr="00591199">
                        <w:rPr>
                          <w:spacing w:val="3"/>
                          <w:lang w:val="en-US"/>
                        </w:rPr>
                        <w:t xml:space="preserve"> </w:t>
                      </w:r>
                      <w:r w:rsidRPr="00591199">
                        <w:rPr>
                          <w:lang w:val="en-US"/>
                        </w:rPr>
                        <w:t>document</w:t>
                      </w:r>
                      <w:r w:rsidRPr="00591199">
                        <w:rPr>
                          <w:spacing w:val="1"/>
                          <w:lang w:val="en-US"/>
                        </w:rPr>
                        <w:t xml:space="preserve"> </w:t>
                      </w:r>
                    </w:p>
                    <w:p w14:paraId="01263347" w14:textId="6E2292FF" w:rsidR="00A46D7A" w:rsidRPr="001729AD" w:rsidRDefault="00A46D7A" w:rsidP="00A46D7A">
                      <w:pPr>
                        <w:pStyle w:val="Style4"/>
                        <w:widowControl/>
                        <w:spacing w:before="40" w:after="40" w:line="240" w:lineRule="auto"/>
                        <w:jc w:val="center"/>
                        <w:rPr>
                          <w:rStyle w:val="FontStyle12"/>
                        </w:rPr>
                      </w:pPr>
                      <w:r w:rsidRPr="001729AD">
                        <w:rPr>
                          <w:rStyle w:val="FontStyle11"/>
                        </w:rPr>
                        <w:t xml:space="preserve">(APPENDIX </w:t>
                      </w:r>
                      <w:r>
                        <w:rPr>
                          <w:rStyle w:val="FontStyle11"/>
                        </w:rPr>
                        <w:t>1</w:t>
                      </w:r>
                      <w:r w:rsidRPr="001729AD">
                        <w:rPr>
                          <w:rStyle w:val="FontStyle12"/>
                        </w:rPr>
                        <w:t xml:space="preserve"> to the university bulletin issue </w:t>
                      </w:r>
                      <w:r w:rsidR="00746FD2">
                        <w:rPr>
                          <w:rStyle w:val="FontStyle12"/>
                        </w:rPr>
                        <w:t>5</w:t>
                      </w:r>
                      <w:r>
                        <w:rPr>
                          <w:rStyle w:val="FontStyle12"/>
                        </w:rPr>
                        <w:t xml:space="preserve">, No. </w:t>
                      </w:r>
                      <w:r w:rsidR="00746FD2">
                        <w:rPr>
                          <w:rStyle w:val="FontStyle12"/>
                        </w:rPr>
                        <w:t>19</w:t>
                      </w:r>
                      <w:r>
                        <w:rPr>
                          <w:rStyle w:val="FontStyle12"/>
                        </w:rPr>
                        <w:t>.1</w:t>
                      </w:r>
                      <w:r w:rsidRPr="001729AD">
                        <w:rPr>
                          <w:rStyle w:val="FontStyle12"/>
                        </w:rPr>
                        <w:t xml:space="preserve"> – 202</w:t>
                      </w:r>
                      <w:r w:rsidR="00EF4D4E">
                        <w:rPr>
                          <w:rStyle w:val="FontStyle12"/>
                        </w:rPr>
                        <w:t>1</w:t>
                      </w:r>
                      <w:r w:rsidRPr="001729AD">
                        <w:rPr>
                          <w:rStyle w:val="FontStyle12"/>
                        </w:rPr>
                        <w:t>/</w:t>
                      </w:r>
                      <w:r w:rsidR="00EF4D4E">
                        <w:rPr>
                          <w:rStyle w:val="FontStyle12"/>
                        </w:rPr>
                        <w:t>20</w:t>
                      </w:r>
                      <w:r w:rsidRPr="001729AD">
                        <w:rPr>
                          <w:rStyle w:val="FontStyle12"/>
                        </w:rPr>
                        <w:t>2</w:t>
                      </w:r>
                      <w:r w:rsidR="00EF4D4E">
                        <w:rPr>
                          <w:rStyle w:val="FontStyle12"/>
                        </w:rPr>
                        <w:t>2</w:t>
                      </w:r>
                      <w:r w:rsidRPr="001729AD">
                        <w:rPr>
                          <w:rStyle w:val="FontStyle12"/>
                        </w:rPr>
                        <w:t xml:space="preserve">, </w:t>
                      </w:r>
                      <w:r w:rsidR="00746FD2">
                        <w:rPr>
                          <w:rStyle w:val="FontStyle12"/>
                        </w:rPr>
                        <w:t>17</w:t>
                      </w:r>
                      <w:r w:rsidRPr="001729AD">
                        <w:rPr>
                          <w:rStyle w:val="FontStyle12"/>
                        </w:rPr>
                        <w:t>.</w:t>
                      </w:r>
                      <w:r w:rsidR="00EF4D4E">
                        <w:rPr>
                          <w:rStyle w:val="FontStyle12"/>
                        </w:rPr>
                        <w:t>11</w:t>
                      </w:r>
                      <w:r w:rsidRPr="001729AD">
                        <w:rPr>
                          <w:rStyle w:val="FontStyle12"/>
                        </w:rPr>
                        <w:t>.2021)</w:t>
                      </w:r>
                    </w:p>
                    <w:p w14:paraId="3189DB33" w14:textId="77777777" w:rsidR="00A46D7A" w:rsidRPr="001729AD" w:rsidRDefault="00A46D7A" w:rsidP="00A46D7A">
                      <w:pPr>
                        <w:pStyle w:val="Style4"/>
                        <w:widowControl/>
                        <w:spacing w:before="40" w:after="40" w:line="240" w:lineRule="auto"/>
                        <w:jc w:val="center"/>
                        <w:rPr>
                          <w:rStyle w:val="FontStyle12"/>
                        </w:rPr>
                      </w:pPr>
                    </w:p>
                    <w:p w14:paraId="10AAF40C" w14:textId="77777777" w:rsidR="00A46D7A" w:rsidRPr="00B97755" w:rsidRDefault="00A46D7A" w:rsidP="00A46D7A">
                      <w:pPr>
                        <w:widowControl/>
                        <w:autoSpaceDE/>
                        <w:autoSpaceDN/>
                        <w:spacing w:before="40" w:after="40"/>
                        <w:jc w:val="center"/>
                        <w:rPr>
                          <w:rFonts w:ascii="Times New Roman" w:eastAsia="Times New Roman" w:hAnsi="Times New Roman" w:cs="Times New Roman"/>
                          <w:b/>
                          <w:bCs/>
                          <w:u w:val="single"/>
                          <w:lang w:val="en-GB" w:eastAsia="en-GB"/>
                        </w:rPr>
                      </w:pPr>
                      <w:r w:rsidRPr="00B97755">
                        <w:rPr>
                          <w:rFonts w:eastAsia="Times New Roman"/>
                          <w:b/>
                          <w:bCs/>
                          <w:sz w:val="20"/>
                          <w:szCs w:val="20"/>
                          <w:u w:val="single"/>
                          <w:lang w:val="en-GB" w:eastAsia="en-GB"/>
                        </w:rPr>
                        <w:t>This document is provided for informational purposes only and is not legally binding!</w:t>
                      </w:r>
                    </w:p>
                    <w:p w14:paraId="0961180A" w14:textId="77777777" w:rsidR="00A46D7A" w:rsidRPr="00B97755" w:rsidRDefault="00A46D7A" w:rsidP="00A46D7A">
                      <w:pPr>
                        <w:pStyle w:val="BodyText"/>
                        <w:spacing w:before="18"/>
                        <w:ind w:left="1307" w:right="1311" w:firstLine="955"/>
                        <w:rPr>
                          <w:lang w:val="en-GB"/>
                        </w:rPr>
                      </w:pPr>
                    </w:p>
                  </w:txbxContent>
                </v:textbox>
                <w10:anchorlock/>
              </v:shape>
            </w:pict>
          </mc:Fallback>
        </mc:AlternateContent>
      </w:r>
    </w:p>
    <w:p w14:paraId="0875707A" w14:textId="77777777" w:rsidR="00591199" w:rsidRPr="00872BBF" w:rsidRDefault="00591199" w:rsidP="00591199">
      <w:pPr>
        <w:pStyle w:val="BodyText"/>
        <w:rPr>
          <w:lang w:val="en-GB"/>
        </w:rPr>
      </w:pPr>
    </w:p>
    <w:p w14:paraId="1C68A38E" w14:textId="77777777" w:rsidR="006F4A84" w:rsidRPr="00872BBF" w:rsidRDefault="006F4A84">
      <w:pPr>
        <w:pStyle w:val="BodyText"/>
        <w:spacing w:before="2"/>
        <w:jc w:val="left"/>
        <w:rPr>
          <w:sz w:val="20"/>
          <w:lang w:val="en-GB"/>
        </w:rPr>
      </w:pPr>
    </w:p>
    <w:p w14:paraId="75575101" w14:textId="77777777" w:rsidR="00591199" w:rsidRPr="00872BBF" w:rsidRDefault="00591199" w:rsidP="00591199">
      <w:pPr>
        <w:pStyle w:val="BodyText"/>
        <w:jc w:val="center"/>
        <w:rPr>
          <w:b/>
          <w:bCs/>
          <w:lang w:val="en-GB"/>
        </w:rPr>
      </w:pPr>
      <w:r w:rsidRPr="00872BBF">
        <w:rPr>
          <w:b/>
          <w:bCs/>
          <w:lang w:val="en-GB"/>
        </w:rPr>
        <w:t>Regulation issued by the Rectorate on the participation in face-to-face courses and</w:t>
      </w:r>
    </w:p>
    <w:p w14:paraId="31CB8C13" w14:textId="77777777" w:rsidR="00591199" w:rsidRPr="00872BBF" w:rsidRDefault="00591199" w:rsidP="00591199">
      <w:pPr>
        <w:pStyle w:val="BodyText"/>
        <w:jc w:val="center"/>
        <w:rPr>
          <w:b/>
          <w:bCs/>
          <w:lang w:val="en-GB"/>
        </w:rPr>
      </w:pPr>
      <w:r w:rsidRPr="00872BBF">
        <w:rPr>
          <w:b/>
          <w:bCs/>
          <w:lang w:val="en-GB"/>
        </w:rPr>
        <w:t>face-to-face examinations and in aptitude and admission procedures</w:t>
      </w:r>
    </w:p>
    <w:p w14:paraId="68C9805A" w14:textId="77777777" w:rsidR="006F4A84" w:rsidRPr="00872BBF" w:rsidRDefault="00A46D7A" w:rsidP="00591199">
      <w:pPr>
        <w:pStyle w:val="BodyText"/>
        <w:jc w:val="center"/>
        <w:rPr>
          <w:b/>
          <w:sz w:val="26"/>
          <w:lang w:val="en-GB"/>
        </w:rPr>
      </w:pPr>
      <w:r w:rsidRPr="00872BBF">
        <w:rPr>
          <w:b/>
          <w:bCs/>
          <w:lang w:val="en-GB"/>
        </w:rPr>
        <w:t xml:space="preserve">held </w:t>
      </w:r>
      <w:r w:rsidR="00591199" w:rsidRPr="00872BBF">
        <w:rPr>
          <w:b/>
          <w:bCs/>
          <w:lang w:val="en-GB"/>
        </w:rPr>
        <w:t>at the University of Klagenfurt</w:t>
      </w:r>
    </w:p>
    <w:p w14:paraId="154DF987" w14:textId="77777777" w:rsidR="006F4A84" w:rsidRPr="00872BBF" w:rsidRDefault="006F4A84">
      <w:pPr>
        <w:pStyle w:val="BodyText"/>
        <w:spacing w:before="3"/>
        <w:jc w:val="left"/>
        <w:rPr>
          <w:b/>
          <w:sz w:val="25"/>
          <w:lang w:val="en-GB"/>
        </w:rPr>
      </w:pPr>
    </w:p>
    <w:p w14:paraId="6B6A7B0B" w14:textId="77777777" w:rsidR="006F4A84" w:rsidRPr="00872BBF" w:rsidRDefault="00A46D7A">
      <w:pPr>
        <w:pStyle w:val="BodyText"/>
        <w:spacing w:line="259" w:lineRule="auto"/>
        <w:ind w:left="116" w:right="116"/>
        <w:rPr>
          <w:lang w:val="en-GB"/>
        </w:rPr>
      </w:pPr>
      <w:r w:rsidRPr="00872BBF">
        <w:rPr>
          <w:lang w:val="en-GB"/>
        </w:rPr>
        <w:t>On the basis of Section 1(1) of the 2</w:t>
      </w:r>
      <w:r w:rsidRPr="00872BBF">
        <w:rPr>
          <w:vertAlign w:val="superscript"/>
          <w:lang w:val="en-GB"/>
        </w:rPr>
        <w:t>nd</w:t>
      </w:r>
      <w:r w:rsidRPr="00872BBF">
        <w:rPr>
          <w:lang w:val="en-GB"/>
        </w:rPr>
        <w:t xml:space="preserve"> COVID-19 Higher Education Act (2</w:t>
      </w:r>
      <w:r w:rsidRPr="006B6082">
        <w:rPr>
          <w:vertAlign w:val="superscript"/>
          <w:lang w:val="en-GB"/>
        </w:rPr>
        <w:t>nd</w:t>
      </w:r>
      <w:r w:rsidRPr="00872BBF">
        <w:rPr>
          <w:lang w:val="en-GB"/>
        </w:rPr>
        <w:t xml:space="preserve"> C-HG, Federal Law Gazette I 76/2021 as amended by Federal Law Gazette I 127/2021) and after consultation with the Chair of the Senate, the Chair of the University Council and the Chair of the University Students’ Representative Council, the following is hereby decreed</w:t>
      </w:r>
      <w:r w:rsidR="00872BBF" w:rsidRPr="00872BBF">
        <w:rPr>
          <w:lang w:val="en-GB"/>
        </w:rPr>
        <w:t>:</w:t>
      </w:r>
    </w:p>
    <w:p w14:paraId="6EFF4E61" w14:textId="77777777" w:rsidR="006F4A84" w:rsidRPr="00872BBF" w:rsidRDefault="006F4A84">
      <w:pPr>
        <w:pStyle w:val="BodyText"/>
        <w:jc w:val="left"/>
        <w:rPr>
          <w:sz w:val="26"/>
          <w:lang w:val="en-GB"/>
        </w:rPr>
      </w:pPr>
    </w:p>
    <w:p w14:paraId="536EC2F8" w14:textId="77777777" w:rsidR="006F4A84" w:rsidRPr="00872BBF" w:rsidRDefault="006F4A84">
      <w:pPr>
        <w:pStyle w:val="BodyText"/>
        <w:spacing w:before="3"/>
        <w:jc w:val="left"/>
        <w:rPr>
          <w:sz w:val="25"/>
          <w:lang w:val="en-GB"/>
        </w:rPr>
      </w:pPr>
    </w:p>
    <w:p w14:paraId="5B3A74F1" w14:textId="77777777" w:rsidR="006F4A84" w:rsidRPr="00872BBF" w:rsidRDefault="00872BBF">
      <w:pPr>
        <w:pStyle w:val="Heading1"/>
        <w:ind w:left="1664"/>
        <w:rPr>
          <w:lang w:val="en-GB"/>
        </w:rPr>
      </w:pPr>
      <w:r w:rsidRPr="00872BBF">
        <w:rPr>
          <w:lang w:val="en-GB"/>
        </w:rPr>
        <w:t>§</w:t>
      </w:r>
      <w:r w:rsidRPr="00872BBF">
        <w:rPr>
          <w:spacing w:val="-1"/>
          <w:lang w:val="en-GB"/>
        </w:rPr>
        <w:t xml:space="preserve"> </w:t>
      </w:r>
      <w:r w:rsidRPr="00872BBF">
        <w:rPr>
          <w:lang w:val="en-GB"/>
        </w:rPr>
        <w:t>1</w:t>
      </w:r>
      <w:r w:rsidRPr="00872BBF">
        <w:rPr>
          <w:spacing w:val="-4"/>
          <w:lang w:val="en-GB"/>
        </w:rPr>
        <w:t xml:space="preserve"> </w:t>
      </w:r>
      <w:r w:rsidR="00A46D7A" w:rsidRPr="00872BBF">
        <w:rPr>
          <w:lang w:val="en-GB"/>
        </w:rPr>
        <w:t>Scope of application</w:t>
      </w:r>
    </w:p>
    <w:p w14:paraId="6CA51B03" w14:textId="77777777" w:rsidR="006F4A84" w:rsidRPr="00872BBF" w:rsidRDefault="00A46D7A">
      <w:pPr>
        <w:pStyle w:val="ListParagraph"/>
        <w:numPr>
          <w:ilvl w:val="0"/>
          <w:numId w:val="3"/>
        </w:numPr>
        <w:tabs>
          <w:tab w:val="left" w:pos="508"/>
        </w:tabs>
        <w:spacing w:before="179" w:line="259" w:lineRule="auto"/>
        <w:ind w:firstLine="0"/>
        <w:rPr>
          <w:lang w:val="en-GB"/>
        </w:rPr>
      </w:pPr>
      <w:r w:rsidRPr="00872BBF">
        <w:rPr>
          <w:lang w:val="en-GB"/>
        </w:rPr>
        <w:t>This regulation governs hygiene and protective measures that apply to the participation in face-to-face teaching and face-to-face examinations and in aptitude and admission procedures to prevent the spread of the COVID-19 pandemic</w:t>
      </w:r>
      <w:r w:rsidR="00872BBF" w:rsidRPr="00872BBF">
        <w:rPr>
          <w:lang w:val="en-GB"/>
        </w:rPr>
        <w:t>.</w:t>
      </w:r>
    </w:p>
    <w:p w14:paraId="150A3DA6" w14:textId="77777777" w:rsidR="006F4A84" w:rsidRPr="00872BBF" w:rsidRDefault="00A46D7A">
      <w:pPr>
        <w:pStyle w:val="ListParagraph"/>
        <w:numPr>
          <w:ilvl w:val="0"/>
          <w:numId w:val="3"/>
        </w:numPr>
        <w:tabs>
          <w:tab w:val="left" w:pos="522"/>
        </w:tabs>
        <w:spacing w:before="161" w:line="259" w:lineRule="auto"/>
        <w:ind w:right="113" w:firstLine="0"/>
        <w:rPr>
          <w:lang w:val="en-GB"/>
        </w:rPr>
      </w:pPr>
      <w:r w:rsidRPr="00872BBF">
        <w:rPr>
          <w:lang w:val="en-GB"/>
        </w:rPr>
        <w:t xml:space="preserve">In all other respects, the provisions of the supplement to the House and Use Rules shall apply </w:t>
      </w:r>
      <w:r w:rsidR="006B6082" w:rsidRPr="006B6082">
        <w:rPr>
          <w:lang w:val="en-US"/>
        </w:rPr>
        <w:t>–</w:t>
      </w:r>
      <w:r w:rsidRPr="00872BBF">
        <w:rPr>
          <w:lang w:val="en-GB"/>
        </w:rPr>
        <w:t xml:space="preserve"> in particular with regard to entry, verification of proof pursuant to § 2 and possible consequences</w:t>
      </w:r>
      <w:r w:rsidR="00872BBF" w:rsidRPr="00872BBF">
        <w:rPr>
          <w:lang w:val="en-GB"/>
        </w:rPr>
        <w:t xml:space="preserve">: </w:t>
      </w:r>
      <w:r w:rsidR="00CC406A" w:rsidRPr="00872BBF">
        <w:rPr>
          <w:lang w:val="en-GB"/>
        </w:rPr>
        <w:t>COVID safety measures as amended from time to time and, with regard to a possible exclusion from the degree programme, Section 68 para. 1 no. 8 Universities Act (Federal Law Gazette I 2002/120 as amended by Federal Law Gazette I 2017/129) mutatis mutandis.</w:t>
      </w:r>
    </w:p>
    <w:p w14:paraId="44EBD103" w14:textId="77777777" w:rsidR="006F4A84" w:rsidRPr="00872BBF" w:rsidRDefault="006F4A84">
      <w:pPr>
        <w:pStyle w:val="BodyText"/>
        <w:jc w:val="left"/>
        <w:rPr>
          <w:sz w:val="26"/>
          <w:lang w:val="en-GB"/>
        </w:rPr>
      </w:pPr>
    </w:p>
    <w:p w14:paraId="25BE3369" w14:textId="77777777" w:rsidR="006F4A84" w:rsidRPr="00872BBF" w:rsidRDefault="006F4A84">
      <w:pPr>
        <w:pStyle w:val="BodyText"/>
        <w:spacing w:before="1"/>
        <w:jc w:val="left"/>
        <w:rPr>
          <w:sz w:val="25"/>
          <w:lang w:val="en-GB"/>
        </w:rPr>
      </w:pPr>
    </w:p>
    <w:p w14:paraId="0CC71C63" w14:textId="77777777" w:rsidR="006F4A84" w:rsidRPr="00872BBF" w:rsidRDefault="00872BBF">
      <w:pPr>
        <w:pStyle w:val="Heading1"/>
        <w:ind w:left="1665"/>
        <w:rPr>
          <w:lang w:val="en-GB"/>
        </w:rPr>
      </w:pPr>
      <w:r w:rsidRPr="00872BBF">
        <w:rPr>
          <w:lang w:val="en-GB"/>
        </w:rPr>
        <w:t>§</w:t>
      </w:r>
      <w:r w:rsidRPr="00872BBF">
        <w:rPr>
          <w:spacing w:val="-1"/>
          <w:lang w:val="en-GB"/>
        </w:rPr>
        <w:t xml:space="preserve"> </w:t>
      </w:r>
      <w:r w:rsidRPr="00872BBF">
        <w:rPr>
          <w:lang w:val="en-GB"/>
        </w:rPr>
        <w:t>2</w:t>
      </w:r>
      <w:r w:rsidRPr="00872BBF">
        <w:rPr>
          <w:spacing w:val="-1"/>
          <w:lang w:val="en-GB"/>
        </w:rPr>
        <w:t xml:space="preserve"> </w:t>
      </w:r>
      <w:r w:rsidR="0064369D" w:rsidRPr="00872BBF">
        <w:rPr>
          <w:lang w:val="en-GB"/>
        </w:rPr>
        <w:t>Proof of a low epidemiological risk</w:t>
      </w:r>
    </w:p>
    <w:p w14:paraId="4D98C241" w14:textId="77777777" w:rsidR="006F4A84" w:rsidRPr="00872BBF" w:rsidRDefault="0064369D">
      <w:pPr>
        <w:pStyle w:val="ListParagraph"/>
        <w:numPr>
          <w:ilvl w:val="0"/>
          <w:numId w:val="2"/>
        </w:numPr>
        <w:tabs>
          <w:tab w:val="left" w:pos="544"/>
        </w:tabs>
        <w:spacing w:before="179"/>
        <w:ind w:right="114"/>
        <w:rPr>
          <w:lang w:val="en-GB"/>
        </w:rPr>
      </w:pPr>
      <w:r w:rsidRPr="00872BBF">
        <w:rPr>
          <w:lang w:val="en-GB"/>
        </w:rPr>
        <w:t>Participation in face-to-face courses is only permitted if teachers</w:t>
      </w:r>
      <w:r w:rsidR="00942021">
        <w:rPr>
          <w:lang w:val="en-GB"/>
        </w:rPr>
        <w:t xml:space="preserve"> and</w:t>
      </w:r>
      <w:r w:rsidRPr="00872BBF">
        <w:rPr>
          <w:lang w:val="en-GB"/>
        </w:rPr>
        <w:t xml:space="preserve"> students prove that they pose a low epidemiological risk.</w:t>
      </w:r>
      <w:r w:rsidR="00872BBF" w:rsidRPr="00872BBF">
        <w:rPr>
          <w:lang w:val="en-GB"/>
        </w:rPr>
        <w:t xml:space="preserve"> </w:t>
      </w:r>
      <w:r w:rsidR="007228F3" w:rsidRPr="00872BBF">
        <w:rPr>
          <w:lang w:val="en-GB"/>
        </w:rPr>
        <w:t>For the purposes of this Regulation, the following shall be deemed to be proof</w:t>
      </w:r>
      <w:r w:rsidR="00872BBF" w:rsidRPr="00872BBF">
        <w:rPr>
          <w:lang w:val="en-GB"/>
        </w:rPr>
        <w:t>:</w:t>
      </w:r>
    </w:p>
    <w:p w14:paraId="78610B9B" w14:textId="77777777" w:rsidR="006F4A84" w:rsidRPr="00872BBF" w:rsidRDefault="00942021">
      <w:pPr>
        <w:pStyle w:val="ListParagraph"/>
        <w:numPr>
          <w:ilvl w:val="1"/>
          <w:numId w:val="2"/>
        </w:numPr>
        <w:tabs>
          <w:tab w:val="left" w:pos="969"/>
        </w:tabs>
        <w:spacing w:before="120"/>
        <w:rPr>
          <w:lang w:val="en-GB"/>
        </w:rPr>
      </w:pPr>
      <w:r w:rsidRPr="00942021">
        <w:rPr>
          <w:b/>
          <w:lang w:val="en-GB"/>
        </w:rPr>
        <w:t>Proof of 1G</w:t>
      </w:r>
      <w:r>
        <w:rPr>
          <w:lang w:val="en-GB"/>
        </w:rPr>
        <w:t xml:space="preserve">: </w:t>
      </w:r>
      <w:r w:rsidR="007228F3" w:rsidRPr="00872BBF">
        <w:rPr>
          <w:lang w:val="en-GB"/>
        </w:rPr>
        <w:t>Proof of one of the following types of vaccinations administered with a centrally authorised COVID-19 vaccine</w:t>
      </w:r>
    </w:p>
    <w:p w14:paraId="3E072AE6" w14:textId="77777777" w:rsidR="006F4A84" w:rsidRPr="00872BBF" w:rsidRDefault="007350D3">
      <w:pPr>
        <w:pStyle w:val="ListParagraph"/>
        <w:numPr>
          <w:ilvl w:val="2"/>
          <w:numId w:val="2"/>
        </w:numPr>
        <w:tabs>
          <w:tab w:val="left" w:pos="1250"/>
        </w:tabs>
        <w:spacing w:before="120"/>
        <w:ind w:right="116"/>
        <w:rPr>
          <w:lang w:val="en-GB"/>
        </w:rPr>
      </w:pPr>
      <w:r w:rsidRPr="00872BBF">
        <w:rPr>
          <w:lang w:val="en-GB"/>
        </w:rPr>
        <w:t xml:space="preserve">Second vaccination received no more than </w:t>
      </w:r>
      <w:r w:rsidR="00942021">
        <w:rPr>
          <w:lang w:val="en-GB"/>
        </w:rPr>
        <w:t>27</w:t>
      </w:r>
      <w:r w:rsidRPr="00872BBF">
        <w:rPr>
          <w:lang w:val="en-GB"/>
        </w:rPr>
        <w:t>0 days previously, with at least 14 days passing between the first and second dose, or</w:t>
      </w:r>
    </w:p>
    <w:p w14:paraId="3405A17B" w14:textId="77777777" w:rsidR="006F4A84" w:rsidRPr="00872BBF" w:rsidRDefault="007350D3">
      <w:pPr>
        <w:pStyle w:val="ListParagraph"/>
        <w:numPr>
          <w:ilvl w:val="2"/>
          <w:numId w:val="2"/>
        </w:numPr>
        <w:tabs>
          <w:tab w:val="left" w:pos="1250"/>
        </w:tabs>
        <w:ind w:left="1249"/>
        <w:rPr>
          <w:lang w:val="en-GB"/>
        </w:rPr>
      </w:pPr>
      <w:r w:rsidRPr="00872BBF">
        <w:rPr>
          <w:lang w:val="en-GB"/>
        </w:rPr>
        <w:t>vaccination, starting from the 22</w:t>
      </w:r>
      <w:r w:rsidRPr="00942021">
        <w:rPr>
          <w:vertAlign w:val="superscript"/>
          <w:lang w:val="en-GB"/>
        </w:rPr>
        <w:t>nd</w:t>
      </w:r>
      <w:r w:rsidRPr="00872BBF">
        <w:rPr>
          <w:lang w:val="en-GB"/>
        </w:rPr>
        <w:t xml:space="preserve"> day after receiving the vaccination for those vaccinations involving a single dose of vaccine, received no more than 270 days previously, or</w:t>
      </w:r>
    </w:p>
    <w:p w14:paraId="5710C30D" w14:textId="77777777" w:rsidR="006F4A84" w:rsidRPr="00872BBF" w:rsidRDefault="007350D3">
      <w:pPr>
        <w:pStyle w:val="ListParagraph"/>
        <w:numPr>
          <w:ilvl w:val="2"/>
          <w:numId w:val="2"/>
        </w:numPr>
        <w:tabs>
          <w:tab w:val="left" w:pos="1250"/>
        </w:tabs>
        <w:ind w:left="1249" w:right="114"/>
        <w:rPr>
          <w:lang w:val="en-GB"/>
        </w:rPr>
      </w:pPr>
      <w:r w:rsidRPr="00872BBF">
        <w:rPr>
          <w:lang w:val="en-GB"/>
        </w:rPr>
        <w:t>vaccination, provided that a positive molecular-biological test for SARS-CoV-2 was recorded at least 21 days prior to vaccination or proof of the presence of neutralising antibodies was provided before the vaccination, with no more than 270 days having elapsed since the vaccination, or</w:t>
      </w:r>
    </w:p>
    <w:p w14:paraId="39179B9F" w14:textId="77777777" w:rsidR="00942021" w:rsidRDefault="00942021" w:rsidP="008E72E0">
      <w:pPr>
        <w:pStyle w:val="ListParagraph"/>
        <w:numPr>
          <w:ilvl w:val="2"/>
          <w:numId w:val="2"/>
        </w:numPr>
        <w:tabs>
          <w:tab w:val="left" w:pos="1250"/>
        </w:tabs>
        <w:spacing w:before="121"/>
        <w:rPr>
          <w:lang w:val="en-GB"/>
        </w:rPr>
      </w:pPr>
      <w:r w:rsidRPr="00942021">
        <w:rPr>
          <w:lang w:val="en-GB"/>
        </w:rPr>
        <w:t>a further vaccination received no more than 270 days previously, and with the following number of days having passed between this vaccination and one of the vaccinations described above</w:t>
      </w:r>
    </w:p>
    <w:p w14:paraId="59B9EAB1" w14:textId="77777777" w:rsidR="00942021" w:rsidRPr="00942021" w:rsidRDefault="00942021" w:rsidP="00942021">
      <w:pPr>
        <w:tabs>
          <w:tab w:val="left" w:pos="1250"/>
        </w:tabs>
        <w:spacing w:before="121"/>
        <w:ind w:left="967"/>
        <w:rPr>
          <w:lang w:val="en-GB"/>
        </w:rPr>
      </w:pPr>
      <w:r>
        <w:rPr>
          <w:lang w:val="en-GB"/>
        </w:rPr>
        <w:tab/>
      </w:r>
      <w:r w:rsidRPr="00942021">
        <w:rPr>
          <w:lang w:val="en-GB"/>
        </w:rPr>
        <w:t>aa) lit. a or c at least 120 days or</w:t>
      </w:r>
    </w:p>
    <w:p w14:paraId="4C6D7087" w14:textId="77777777" w:rsidR="006F4A84" w:rsidRDefault="00942021" w:rsidP="00942021">
      <w:pPr>
        <w:tabs>
          <w:tab w:val="left" w:pos="1250"/>
        </w:tabs>
        <w:spacing w:before="121"/>
        <w:ind w:left="967"/>
        <w:rPr>
          <w:lang w:val="en-GB"/>
        </w:rPr>
      </w:pPr>
      <w:r>
        <w:rPr>
          <w:lang w:val="en-GB"/>
        </w:rPr>
        <w:tab/>
      </w:r>
      <w:r w:rsidRPr="00942021">
        <w:rPr>
          <w:lang w:val="en-GB"/>
        </w:rPr>
        <w:t>bb) lit. b at least 14 days.</w:t>
      </w:r>
    </w:p>
    <w:p w14:paraId="1D82B7EC" w14:textId="77777777" w:rsidR="00942021" w:rsidRDefault="00942021" w:rsidP="00942021">
      <w:pPr>
        <w:tabs>
          <w:tab w:val="left" w:pos="1250"/>
        </w:tabs>
        <w:spacing w:before="121"/>
        <w:ind w:left="967"/>
        <w:rPr>
          <w:lang w:val="en-GB"/>
        </w:rPr>
      </w:pPr>
    </w:p>
    <w:p w14:paraId="3AD69A26" w14:textId="77777777" w:rsidR="00942021" w:rsidRPr="00942021" w:rsidRDefault="00942021" w:rsidP="00942021">
      <w:pPr>
        <w:pStyle w:val="ListParagraph"/>
        <w:numPr>
          <w:ilvl w:val="1"/>
          <w:numId w:val="2"/>
        </w:numPr>
        <w:tabs>
          <w:tab w:val="left" w:pos="969"/>
        </w:tabs>
        <w:ind w:right="113"/>
        <w:rPr>
          <w:lang w:val="en-GB"/>
        </w:rPr>
      </w:pPr>
      <w:r w:rsidRPr="00942021">
        <w:rPr>
          <w:b/>
          <w:lang w:val="en-GB"/>
        </w:rPr>
        <w:lastRenderedPageBreak/>
        <w:t xml:space="preserve">Proof of </w:t>
      </w:r>
      <w:r>
        <w:rPr>
          <w:b/>
          <w:lang w:val="en-GB"/>
        </w:rPr>
        <w:t>2</w:t>
      </w:r>
      <w:r w:rsidRPr="00942021">
        <w:rPr>
          <w:b/>
          <w:lang w:val="en-GB"/>
        </w:rPr>
        <w:t>G</w:t>
      </w:r>
      <w:r>
        <w:rPr>
          <w:lang w:val="en-GB"/>
        </w:rPr>
        <w:t xml:space="preserve">: </w:t>
      </w:r>
      <w:r w:rsidRPr="00942021">
        <w:rPr>
          <w:lang w:val="en-GB"/>
        </w:rPr>
        <w:t>Proof according to point 1 above or</w:t>
      </w:r>
    </w:p>
    <w:p w14:paraId="55E46D3C" w14:textId="77777777" w:rsidR="00942021" w:rsidRPr="00942021" w:rsidRDefault="00942021" w:rsidP="00942021">
      <w:pPr>
        <w:tabs>
          <w:tab w:val="left" w:pos="969"/>
        </w:tabs>
        <w:ind w:left="968" w:right="113"/>
        <w:rPr>
          <w:lang w:val="en-GB"/>
        </w:rPr>
      </w:pPr>
      <w:r>
        <w:rPr>
          <w:lang w:val="en-GB"/>
        </w:rPr>
        <w:br/>
      </w:r>
      <w:r w:rsidRPr="00942021">
        <w:rPr>
          <w:lang w:val="en-GB"/>
        </w:rPr>
        <w:t>a) Proof of recovery from an infection with SARS-CoV-2 in the last 180 days or medical confirmation of recovery from an infection with SARS-CoV-2 in the last 180 days, confirmed by molecular-biological testing, or</w:t>
      </w:r>
      <w:r>
        <w:rPr>
          <w:lang w:val="en-GB"/>
        </w:rPr>
        <w:br/>
      </w:r>
    </w:p>
    <w:p w14:paraId="373F70F0" w14:textId="77777777" w:rsidR="00942021" w:rsidRPr="00942021" w:rsidRDefault="00942021" w:rsidP="00942021">
      <w:pPr>
        <w:ind w:left="993" w:right="113" w:hanging="450"/>
        <w:rPr>
          <w:lang w:val="en-GB"/>
        </w:rPr>
      </w:pPr>
      <w:r>
        <w:rPr>
          <w:lang w:val="en-GB"/>
        </w:rPr>
        <w:tab/>
      </w:r>
      <w:r w:rsidRPr="00942021">
        <w:rPr>
          <w:lang w:val="en-GB"/>
        </w:rPr>
        <w:t>b) an isolation notice, if issued for a person confirmed to have been infected with SARS-CoV-2 in the 180 days prior to the intended date of testing.</w:t>
      </w:r>
    </w:p>
    <w:p w14:paraId="17DC6E5F" w14:textId="77777777" w:rsidR="00942021" w:rsidRPr="00942021" w:rsidRDefault="00942021" w:rsidP="00942021">
      <w:pPr>
        <w:tabs>
          <w:tab w:val="left" w:pos="969"/>
        </w:tabs>
        <w:ind w:left="540" w:right="113"/>
        <w:rPr>
          <w:lang w:val="en-GB"/>
        </w:rPr>
      </w:pPr>
    </w:p>
    <w:p w14:paraId="7E82FB6A" w14:textId="77777777" w:rsidR="006F4A84" w:rsidRPr="00942021" w:rsidRDefault="00ED6AB3" w:rsidP="00942021">
      <w:pPr>
        <w:tabs>
          <w:tab w:val="left" w:pos="969"/>
        </w:tabs>
        <w:ind w:left="540" w:right="113"/>
        <w:rPr>
          <w:lang w:val="en-GB"/>
        </w:rPr>
      </w:pPr>
      <w:r w:rsidRPr="00942021">
        <w:rPr>
          <w:lang w:val="en-GB"/>
        </w:rPr>
        <w:t>The certificate may be stored and accessed on a mobile phone and must be kept on hand throughout the participation in courses.</w:t>
      </w:r>
    </w:p>
    <w:p w14:paraId="01F40799" w14:textId="77777777" w:rsidR="006F4A84" w:rsidRPr="00872BBF" w:rsidRDefault="002A5594">
      <w:pPr>
        <w:pStyle w:val="ListParagraph"/>
        <w:numPr>
          <w:ilvl w:val="0"/>
          <w:numId w:val="2"/>
        </w:numPr>
        <w:tabs>
          <w:tab w:val="left" w:pos="543"/>
        </w:tabs>
        <w:spacing w:before="120"/>
        <w:rPr>
          <w:lang w:val="en-GB"/>
        </w:rPr>
      </w:pPr>
      <w:r w:rsidRPr="00872BBF">
        <w:rPr>
          <w:lang w:val="en-GB"/>
        </w:rPr>
        <w:t>The requirement to comply with the university’s existing safety and hygiene measures remains unaffected by this</w:t>
      </w:r>
      <w:r w:rsidR="00872BBF" w:rsidRPr="00872BBF">
        <w:rPr>
          <w:lang w:val="en-GB"/>
        </w:rPr>
        <w:t>.</w:t>
      </w:r>
    </w:p>
    <w:p w14:paraId="09D43640" w14:textId="77777777" w:rsidR="006F4A84" w:rsidRPr="00872BBF" w:rsidRDefault="002A5594">
      <w:pPr>
        <w:pStyle w:val="ListParagraph"/>
        <w:numPr>
          <w:ilvl w:val="0"/>
          <w:numId w:val="2"/>
        </w:numPr>
        <w:tabs>
          <w:tab w:val="left" w:pos="544"/>
        </w:tabs>
        <w:spacing w:before="120"/>
        <w:rPr>
          <w:lang w:val="en-GB"/>
        </w:rPr>
      </w:pPr>
      <w:r w:rsidRPr="00872BBF">
        <w:rPr>
          <w:lang w:val="en-GB"/>
        </w:rPr>
        <w:t>Students who cannot present valid proof according to Paragraph 1 may not participate in the course session and must leave the campus of the University of Klagenfurt or, if the course is held off-campus, the location of the course immediately.</w:t>
      </w:r>
    </w:p>
    <w:p w14:paraId="2D31FB89" w14:textId="77777777" w:rsidR="006F4A84" w:rsidRPr="00872BBF" w:rsidRDefault="00BD1CB6" w:rsidP="00F90D34">
      <w:pPr>
        <w:pStyle w:val="ListParagraph"/>
        <w:numPr>
          <w:ilvl w:val="0"/>
          <w:numId w:val="2"/>
        </w:numPr>
        <w:spacing w:before="120"/>
        <w:ind w:right="113"/>
        <w:rPr>
          <w:lang w:val="en-GB"/>
        </w:rPr>
      </w:pPr>
      <w:r w:rsidRPr="00872BBF">
        <w:rPr>
          <w:lang w:val="en-GB"/>
        </w:rPr>
        <w:t>In the case of courses with no more than 30 registered students, the lecturers are required to either check compliance with the obligation to carry the proof in accordance with para. 1 themselves before the start of the course, or to have it checked by a designated invigilator.</w:t>
      </w:r>
      <w:r w:rsidR="00872BBF" w:rsidRPr="00872BBF">
        <w:rPr>
          <w:lang w:val="en-GB"/>
        </w:rPr>
        <w:t xml:space="preserve"> </w:t>
      </w:r>
      <w:r w:rsidR="0052756A" w:rsidRPr="00872BBF">
        <w:rPr>
          <w:lang w:val="en-GB"/>
        </w:rPr>
        <w:t>Those persons who do not have the appropriate proof with them must be excluded from the course.</w:t>
      </w:r>
      <w:r w:rsidR="00872BBF" w:rsidRPr="00872BBF">
        <w:rPr>
          <w:lang w:val="en-GB"/>
        </w:rPr>
        <w:t xml:space="preserve"> </w:t>
      </w:r>
      <w:r w:rsidR="00F90D34" w:rsidRPr="00872BBF">
        <w:rPr>
          <w:lang w:val="en-GB"/>
        </w:rPr>
        <w:t xml:space="preserve">For courses with more than 30 registered students, checks shall be carried out as part of the general access controls. </w:t>
      </w:r>
      <w:r w:rsidR="00872BBF" w:rsidRPr="00872BBF">
        <w:rPr>
          <w:spacing w:val="-9"/>
          <w:lang w:val="en-GB"/>
        </w:rPr>
        <w:t xml:space="preserve"> </w:t>
      </w:r>
      <w:r w:rsidR="00872BBF" w:rsidRPr="00872BBF">
        <w:rPr>
          <w:lang w:val="en-GB"/>
        </w:rPr>
        <w:t>Lecturers are entitled to establish the identity of the students for the purpose of verifying the certificates.</w:t>
      </w:r>
      <w:r w:rsidR="00872BBF" w:rsidRPr="00872BBF">
        <w:rPr>
          <w:spacing w:val="1"/>
          <w:lang w:val="en-GB"/>
        </w:rPr>
        <w:t xml:space="preserve"> </w:t>
      </w:r>
      <w:r w:rsidR="00872BBF" w:rsidRPr="00872BBF">
        <w:rPr>
          <w:lang w:val="en-GB"/>
        </w:rPr>
        <w:t>Copying or storing the certificates is not permitted, nor is the processing of the data collected in the course of establishing the identity of the person. Alternatively, the verification of proofs, the determination of identity and the exclusion from participation can also be carried out at any time by other persons appointed by the Vice-Rector for Education.</w:t>
      </w:r>
    </w:p>
    <w:p w14:paraId="718B8FC6" w14:textId="77777777" w:rsidR="006F4A84" w:rsidRPr="00872BBF" w:rsidRDefault="00872BBF" w:rsidP="00830A1A">
      <w:pPr>
        <w:pStyle w:val="ListParagraph"/>
        <w:numPr>
          <w:ilvl w:val="0"/>
          <w:numId w:val="2"/>
        </w:numPr>
        <w:tabs>
          <w:tab w:val="left" w:pos="544"/>
        </w:tabs>
        <w:ind w:right="113" w:hanging="425"/>
        <w:rPr>
          <w:lang w:val="en-GB"/>
        </w:rPr>
      </w:pPr>
      <w:r w:rsidRPr="00872BBF">
        <w:rPr>
          <w:lang w:val="en-GB"/>
        </w:rPr>
        <w:t xml:space="preserve">For prospective students participating in face-to-face modules of an aptitude or admission procedure, para. </w:t>
      </w:r>
      <w:r w:rsidR="009E7004">
        <w:rPr>
          <w:lang w:val="en-GB"/>
        </w:rPr>
        <w:t>4</w:t>
      </w:r>
      <w:r w:rsidRPr="00872BBF">
        <w:rPr>
          <w:lang w:val="en-GB"/>
        </w:rPr>
        <w:t xml:space="preserve"> shall apply provided that compliance with the obligation to carry a certificate pursuant to para. 1 shall be ensured by the Vice-Rector for Education by assigning appropriately qualified persons to check the certificates.</w:t>
      </w:r>
    </w:p>
    <w:p w14:paraId="121787CC" w14:textId="77777777" w:rsidR="006F4A84" w:rsidRPr="00872BBF" w:rsidRDefault="005B2547" w:rsidP="00830A1A">
      <w:pPr>
        <w:pStyle w:val="ListParagraph"/>
        <w:numPr>
          <w:ilvl w:val="0"/>
          <w:numId w:val="2"/>
        </w:numPr>
        <w:tabs>
          <w:tab w:val="left" w:pos="545"/>
        </w:tabs>
        <w:ind w:left="544" w:right="114" w:hanging="425"/>
        <w:rPr>
          <w:lang w:val="en-GB"/>
        </w:rPr>
      </w:pPr>
      <w:r w:rsidRPr="00872BBF">
        <w:rPr>
          <w:lang w:val="en-GB"/>
        </w:rPr>
        <w:t>For face-to-face modules of aptitude or admission procedures, more detailed and, if applicable, alternative hygiene and safety provisions may be issued by order of the Rectorate in due time prior to the holding of the respective module.</w:t>
      </w:r>
    </w:p>
    <w:p w14:paraId="2BC14559" w14:textId="77777777" w:rsidR="00A46D7A" w:rsidRPr="00872BBF" w:rsidRDefault="00A46D7A">
      <w:pPr>
        <w:jc w:val="both"/>
        <w:rPr>
          <w:lang w:val="en-GB"/>
        </w:rPr>
      </w:pPr>
    </w:p>
    <w:p w14:paraId="308E2F90" w14:textId="77777777" w:rsidR="00872BBF" w:rsidRDefault="00872BBF">
      <w:pPr>
        <w:jc w:val="both"/>
        <w:rPr>
          <w:lang w:val="en-GB"/>
        </w:rPr>
      </w:pPr>
    </w:p>
    <w:p w14:paraId="59C3850C" w14:textId="77777777" w:rsidR="009E7004" w:rsidRPr="00872BBF" w:rsidRDefault="009E7004" w:rsidP="009E7004">
      <w:pPr>
        <w:pStyle w:val="Heading1"/>
        <w:spacing w:before="77"/>
        <w:ind w:left="1660"/>
        <w:rPr>
          <w:lang w:val="en-GB"/>
        </w:rPr>
      </w:pPr>
      <w:r w:rsidRPr="00872BBF">
        <w:rPr>
          <w:lang w:val="en-GB"/>
        </w:rPr>
        <w:t>§</w:t>
      </w:r>
      <w:r w:rsidRPr="00872BBF">
        <w:rPr>
          <w:spacing w:val="-4"/>
          <w:lang w:val="en-GB"/>
        </w:rPr>
        <w:t xml:space="preserve"> </w:t>
      </w:r>
      <w:r w:rsidRPr="00872BBF">
        <w:rPr>
          <w:lang w:val="en-GB"/>
        </w:rPr>
        <w:t>3</w:t>
      </w:r>
      <w:r w:rsidRPr="00872BBF">
        <w:rPr>
          <w:spacing w:val="-7"/>
          <w:lang w:val="en-GB"/>
        </w:rPr>
        <w:t xml:space="preserve"> </w:t>
      </w:r>
      <w:r>
        <w:rPr>
          <w:lang w:val="en-GB"/>
        </w:rPr>
        <w:t>Exceptions</w:t>
      </w:r>
    </w:p>
    <w:p w14:paraId="3CD4001E" w14:textId="77777777" w:rsidR="009E7004" w:rsidRPr="00872BBF" w:rsidRDefault="009E7004" w:rsidP="009E7004">
      <w:pPr>
        <w:pStyle w:val="BodyText"/>
        <w:jc w:val="left"/>
        <w:rPr>
          <w:b/>
          <w:lang w:val="en-GB"/>
        </w:rPr>
      </w:pPr>
    </w:p>
    <w:p w14:paraId="2C1541D0" w14:textId="77777777" w:rsidR="009E7004" w:rsidRDefault="009B18B4" w:rsidP="00830A1A">
      <w:pPr>
        <w:pStyle w:val="ListParagraph"/>
        <w:numPr>
          <w:ilvl w:val="0"/>
          <w:numId w:val="1"/>
        </w:numPr>
        <w:spacing w:before="0" w:after="100"/>
        <w:ind w:left="567" w:right="113" w:hanging="452"/>
        <w:rPr>
          <w:lang w:val="en-GB"/>
        </w:rPr>
      </w:pPr>
      <w:r w:rsidRPr="009B18B4">
        <w:rPr>
          <w:lang w:val="en-GB"/>
        </w:rPr>
        <w:t xml:space="preserve">Participation in face-to-face examinations and in aptitude and admission procedures shall be permitted provided that lecturers, students, </w:t>
      </w:r>
      <w:r w:rsidR="00573F02">
        <w:rPr>
          <w:lang w:val="en-GB"/>
        </w:rPr>
        <w:t>prospective students</w:t>
      </w:r>
      <w:r w:rsidRPr="009B18B4">
        <w:rPr>
          <w:lang w:val="en-GB"/>
        </w:rPr>
        <w:t xml:space="preserve"> and persons entrusted with the supervision of examinations present proof pursuant to § 2 para. 1 </w:t>
      </w:r>
      <w:proofErr w:type="spellStart"/>
      <w:r w:rsidRPr="009B18B4">
        <w:rPr>
          <w:lang w:val="en-GB"/>
        </w:rPr>
        <w:t>subpara</w:t>
      </w:r>
      <w:proofErr w:type="spellEnd"/>
      <w:r w:rsidRPr="009B18B4">
        <w:rPr>
          <w:lang w:val="en-GB"/>
        </w:rPr>
        <w:t xml:space="preserve">. 1 or 2 or proof </w:t>
      </w:r>
      <w:r w:rsidR="00573F02">
        <w:rPr>
          <w:lang w:val="en-GB"/>
        </w:rPr>
        <w:t>issued by</w:t>
      </w:r>
      <w:r w:rsidRPr="009B18B4">
        <w:rPr>
          <w:lang w:val="en-GB"/>
        </w:rPr>
        <w:t xml:space="preserve"> an authorised body of a negative result of a molecular</w:t>
      </w:r>
      <w:r w:rsidR="00573F02">
        <w:rPr>
          <w:lang w:val="en-GB"/>
        </w:rPr>
        <w:t>-</w:t>
      </w:r>
      <w:r w:rsidRPr="009B18B4">
        <w:rPr>
          <w:lang w:val="en-GB"/>
        </w:rPr>
        <w:t>biological test for SARS-CoV-2 taken no more than 72 hours previously</w:t>
      </w:r>
      <w:r w:rsidR="009E7004" w:rsidRPr="00872BBF">
        <w:rPr>
          <w:lang w:val="en-GB"/>
        </w:rPr>
        <w:t>.</w:t>
      </w:r>
    </w:p>
    <w:p w14:paraId="468A83E8" w14:textId="77777777" w:rsidR="00CF6543" w:rsidRPr="00CF6543" w:rsidRDefault="00C544AF" w:rsidP="00830A1A">
      <w:pPr>
        <w:pStyle w:val="ListParagraph"/>
        <w:numPr>
          <w:ilvl w:val="0"/>
          <w:numId w:val="1"/>
        </w:numPr>
        <w:spacing w:before="0" w:after="100"/>
        <w:ind w:left="567" w:right="113" w:hanging="425"/>
        <w:rPr>
          <w:lang w:val="en-GB"/>
        </w:rPr>
      </w:pPr>
      <w:r w:rsidRPr="00CF6543">
        <w:rPr>
          <w:lang w:val="en-GB"/>
        </w:rPr>
        <w:t>Until 8 December 2021, the requirement to present proof of 2G compliance under section 2(1)(1) or (2) shall not apply to persons who present evidence of a primary vaccination with a centrally approved vaccine against COVID-19 and evidence from an authorised body of a negative result of a molecular-biological test for SARS-CoV-2, take</w:t>
      </w:r>
      <w:r w:rsidR="00CF6543" w:rsidRPr="00CF6543">
        <w:rPr>
          <w:lang w:val="en-GB"/>
        </w:rPr>
        <w:t xml:space="preserve"> </w:t>
      </w:r>
      <w:r w:rsidRPr="00CF6543">
        <w:rPr>
          <w:lang w:val="en-GB"/>
        </w:rPr>
        <w:t>no more than 72 hours previously.</w:t>
      </w:r>
    </w:p>
    <w:p w14:paraId="4AF32FBA" w14:textId="1F2345B9" w:rsidR="00CF6543" w:rsidRDefault="00CF6543" w:rsidP="009E7004">
      <w:pPr>
        <w:pStyle w:val="ListParagraph"/>
        <w:numPr>
          <w:ilvl w:val="0"/>
          <w:numId w:val="1"/>
        </w:numPr>
        <w:spacing w:before="0"/>
        <w:ind w:left="567" w:right="116" w:hanging="452"/>
        <w:rPr>
          <w:lang w:val="en-GB"/>
        </w:rPr>
      </w:pPr>
      <w:r w:rsidRPr="00CF6543">
        <w:rPr>
          <w:lang w:val="en-GB"/>
        </w:rPr>
        <w:t xml:space="preserve">The </w:t>
      </w:r>
      <w:r>
        <w:rPr>
          <w:lang w:val="en-GB"/>
        </w:rPr>
        <w:t>requirement</w:t>
      </w:r>
      <w:r w:rsidRPr="00CF6543">
        <w:rPr>
          <w:lang w:val="en-GB"/>
        </w:rPr>
        <w:t xml:space="preserve"> to present proof pursuant to § 2 par. 1 fig. 1 or fig. 2 shall not apply to persons who cannot be vaccinated without risk to life or health. In such cases, proof </w:t>
      </w:r>
      <w:r>
        <w:rPr>
          <w:lang w:val="en-GB"/>
        </w:rPr>
        <w:t>issued by</w:t>
      </w:r>
      <w:r w:rsidRPr="00CF6543">
        <w:rPr>
          <w:lang w:val="en-GB"/>
        </w:rPr>
        <w:t xml:space="preserve"> an authorised body of a negative result of a molecular</w:t>
      </w:r>
      <w:r>
        <w:rPr>
          <w:lang w:val="en-GB"/>
        </w:rPr>
        <w:t>-</w:t>
      </w:r>
      <w:r w:rsidRPr="00CF6543">
        <w:rPr>
          <w:lang w:val="en-GB"/>
        </w:rPr>
        <w:t xml:space="preserve">biological test for SARS-CoV-2, taken </w:t>
      </w:r>
      <w:r>
        <w:rPr>
          <w:lang w:val="en-GB"/>
        </w:rPr>
        <w:t xml:space="preserve">no </w:t>
      </w:r>
      <w:r w:rsidRPr="00CF6543">
        <w:rPr>
          <w:lang w:val="en-GB"/>
        </w:rPr>
        <w:t xml:space="preserve">more than 72 hours previously, </w:t>
      </w:r>
      <w:r>
        <w:rPr>
          <w:lang w:val="en-GB"/>
        </w:rPr>
        <w:t>must</w:t>
      </w:r>
      <w:r w:rsidRPr="00CF6543">
        <w:rPr>
          <w:lang w:val="en-GB"/>
        </w:rPr>
        <w:t xml:space="preserve"> be presented. The circumstance according to sentence 1 shall be proven by a medical certificate.</w:t>
      </w:r>
    </w:p>
    <w:p w14:paraId="5FC46CE5" w14:textId="10374B11" w:rsidR="005D44D7" w:rsidRDefault="005D44D7" w:rsidP="00095C7E">
      <w:pPr>
        <w:pStyle w:val="ListParagraph"/>
        <w:numPr>
          <w:ilvl w:val="0"/>
          <w:numId w:val="1"/>
        </w:numPr>
        <w:spacing w:before="0" w:after="120"/>
        <w:ind w:left="567" w:right="113" w:hanging="454"/>
        <w:rPr>
          <w:lang w:val="en-GB"/>
        </w:rPr>
      </w:pPr>
      <w:r w:rsidRPr="005D44D7">
        <w:rPr>
          <w:lang w:val="en-GB"/>
        </w:rPr>
        <w:lastRenderedPageBreak/>
        <w:t xml:space="preserve">If students who invoke the </w:t>
      </w:r>
      <w:r w:rsidR="00883933">
        <w:rPr>
          <w:lang w:val="en-GB"/>
        </w:rPr>
        <w:t>reason</w:t>
      </w:r>
      <w:r w:rsidRPr="005D44D7">
        <w:rPr>
          <w:lang w:val="en-GB"/>
        </w:rPr>
        <w:t xml:space="preserve"> for exemption pursuant to subsection 1, third item, can </w:t>
      </w:r>
      <w:r>
        <w:rPr>
          <w:lang w:val="en-GB"/>
        </w:rPr>
        <w:t>plausibly</w:t>
      </w:r>
      <w:r w:rsidRPr="005D44D7">
        <w:rPr>
          <w:lang w:val="en-GB"/>
        </w:rPr>
        <w:t xml:space="preserve"> </w:t>
      </w:r>
      <w:r>
        <w:rPr>
          <w:lang w:val="en-GB"/>
        </w:rPr>
        <w:t>demonstrate</w:t>
      </w:r>
      <w:r w:rsidRPr="005D44D7">
        <w:rPr>
          <w:lang w:val="en-GB"/>
        </w:rPr>
        <w:t xml:space="preserve"> that the required proof from an authorised body </w:t>
      </w:r>
      <w:r>
        <w:rPr>
          <w:lang w:val="en-GB"/>
        </w:rPr>
        <w:t>confirming</w:t>
      </w:r>
      <w:r w:rsidRPr="005D44D7">
        <w:rPr>
          <w:lang w:val="en-GB"/>
        </w:rPr>
        <w:t xml:space="preserve"> a negative result of a molecular</w:t>
      </w:r>
      <w:r>
        <w:rPr>
          <w:lang w:val="en-GB"/>
        </w:rPr>
        <w:t>-</w:t>
      </w:r>
      <w:r w:rsidRPr="005D44D7">
        <w:rPr>
          <w:lang w:val="en-GB"/>
        </w:rPr>
        <w:t xml:space="preserve">biological test for SARS-CoV-2 </w:t>
      </w:r>
      <w:r>
        <w:rPr>
          <w:lang w:val="en-GB"/>
        </w:rPr>
        <w:t>cannot be presented due to</w:t>
      </w:r>
      <w:r w:rsidRPr="005D44D7">
        <w:rPr>
          <w:lang w:val="en-GB"/>
        </w:rPr>
        <w:t xml:space="preserve"> reasons of insufficient availability or </w:t>
      </w:r>
      <w:r>
        <w:rPr>
          <w:lang w:val="en-GB"/>
        </w:rPr>
        <w:t>delayed</w:t>
      </w:r>
      <w:r w:rsidRPr="005D44D7">
        <w:rPr>
          <w:lang w:val="en-GB"/>
        </w:rPr>
        <w:t xml:space="preserve"> evaluation, participation in </w:t>
      </w:r>
      <w:r>
        <w:rPr>
          <w:lang w:val="en-GB"/>
        </w:rPr>
        <w:t xml:space="preserve">face-to-face </w:t>
      </w:r>
      <w:r w:rsidRPr="005D44D7">
        <w:rPr>
          <w:lang w:val="en-GB"/>
        </w:rPr>
        <w:t>examinations is also permissible by way of exception</w:t>
      </w:r>
      <w:r w:rsidR="00883933">
        <w:rPr>
          <w:lang w:val="en-GB"/>
        </w:rPr>
        <w:t>,</w:t>
      </w:r>
      <w:r w:rsidRPr="005D44D7">
        <w:rPr>
          <w:lang w:val="en-GB"/>
        </w:rPr>
        <w:t xml:space="preserve"> </w:t>
      </w:r>
      <w:r w:rsidR="00883933">
        <w:rPr>
          <w:lang w:val="en-GB"/>
        </w:rPr>
        <w:t>provided that</w:t>
      </w:r>
      <w:r w:rsidRPr="005D44D7">
        <w:rPr>
          <w:lang w:val="en-GB"/>
        </w:rPr>
        <w:t xml:space="preserve"> proof of a negative result of an antigen test for SARS-CoV-2</w:t>
      </w:r>
      <w:r>
        <w:rPr>
          <w:lang w:val="en-GB"/>
        </w:rPr>
        <w:t xml:space="preserve"> is presented, issued by</w:t>
      </w:r>
      <w:r w:rsidRPr="005D44D7">
        <w:rPr>
          <w:lang w:val="en-GB"/>
        </w:rPr>
        <w:t xml:space="preserve"> an authorised body</w:t>
      </w:r>
      <w:r>
        <w:rPr>
          <w:lang w:val="en-GB"/>
        </w:rPr>
        <w:t xml:space="preserve"> and</w:t>
      </w:r>
      <w:r w:rsidRPr="005D44D7">
        <w:rPr>
          <w:lang w:val="en-GB"/>
        </w:rPr>
        <w:t xml:space="preserve"> taken no more than 24 hours </w:t>
      </w:r>
      <w:r>
        <w:rPr>
          <w:lang w:val="en-GB"/>
        </w:rPr>
        <w:t>previously.</w:t>
      </w:r>
    </w:p>
    <w:p w14:paraId="34478B8A" w14:textId="60DE4090" w:rsidR="00095C7E" w:rsidRDefault="00095C7E" w:rsidP="009E7004">
      <w:pPr>
        <w:pStyle w:val="ListParagraph"/>
        <w:numPr>
          <w:ilvl w:val="0"/>
          <w:numId w:val="1"/>
        </w:numPr>
        <w:spacing w:before="0"/>
        <w:ind w:left="567" w:right="116" w:hanging="452"/>
        <w:rPr>
          <w:lang w:val="en-GB"/>
        </w:rPr>
      </w:pPr>
      <w:r w:rsidRPr="005D44D7">
        <w:rPr>
          <w:lang w:val="en-GB"/>
        </w:rPr>
        <w:t xml:space="preserve">If students who invoke the </w:t>
      </w:r>
      <w:r>
        <w:rPr>
          <w:lang w:val="en-GB"/>
        </w:rPr>
        <w:t>reason</w:t>
      </w:r>
      <w:r w:rsidRPr="005D44D7">
        <w:rPr>
          <w:lang w:val="en-GB"/>
        </w:rPr>
        <w:t xml:space="preserve"> for exemption pursuant to subsection </w:t>
      </w:r>
      <w:r>
        <w:rPr>
          <w:lang w:val="en-GB"/>
        </w:rPr>
        <w:t>2</w:t>
      </w:r>
      <w:r w:rsidRPr="005D44D7">
        <w:rPr>
          <w:lang w:val="en-GB"/>
        </w:rPr>
        <w:t xml:space="preserve">, can </w:t>
      </w:r>
      <w:r>
        <w:rPr>
          <w:lang w:val="en-GB"/>
        </w:rPr>
        <w:t>plausibly</w:t>
      </w:r>
      <w:r w:rsidRPr="005D44D7">
        <w:rPr>
          <w:lang w:val="en-GB"/>
        </w:rPr>
        <w:t xml:space="preserve"> </w:t>
      </w:r>
      <w:r>
        <w:rPr>
          <w:lang w:val="en-GB"/>
        </w:rPr>
        <w:t>demonstrate</w:t>
      </w:r>
      <w:r w:rsidRPr="005D44D7">
        <w:rPr>
          <w:lang w:val="en-GB"/>
        </w:rPr>
        <w:t xml:space="preserve"> that the required proof from an authorised body </w:t>
      </w:r>
      <w:r>
        <w:rPr>
          <w:lang w:val="en-GB"/>
        </w:rPr>
        <w:t>confirming</w:t>
      </w:r>
      <w:r w:rsidRPr="005D44D7">
        <w:rPr>
          <w:lang w:val="en-GB"/>
        </w:rPr>
        <w:t xml:space="preserve"> a negative result of a molecular</w:t>
      </w:r>
      <w:r>
        <w:rPr>
          <w:lang w:val="en-GB"/>
        </w:rPr>
        <w:t>-</w:t>
      </w:r>
      <w:r w:rsidRPr="005D44D7">
        <w:rPr>
          <w:lang w:val="en-GB"/>
        </w:rPr>
        <w:t xml:space="preserve">biological test for SARS-CoV-2 </w:t>
      </w:r>
      <w:r>
        <w:rPr>
          <w:lang w:val="en-GB"/>
        </w:rPr>
        <w:t>cannot be presented due to</w:t>
      </w:r>
      <w:r w:rsidRPr="005D44D7">
        <w:rPr>
          <w:lang w:val="en-GB"/>
        </w:rPr>
        <w:t xml:space="preserve"> reasons of insufficient availability or </w:t>
      </w:r>
      <w:r>
        <w:rPr>
          <w:lang w:val="en-GB"/>
        </w:rPr>
        <w:t>delayed</w:t>
      </w:r>
      <w:r w:rsidRPr="005D44D7">
        <w:rPr>
          <w:lang w:val="en-GB"/>
        </w:rPr>
        <w:t xml:space="preserve"> evaluation, participation in </w:t>
      </w:r>
      <w:r>
        <w:rPr>
          <w:lang w:val="en-GB"/>
        </w:rPr>
        <w:t xml:space="preserve">face-to-face </w:t>
      </w:r>
      <w:r>
        <w:rPr>
          <w:lang w:val="en-GB"/>
        </w:rPr>
        <w:t>courses</w:t>
      </w:r>
      <w:r w:rsidRPr="005D44D7">
        <w:rPr>
          <w:lang w:val="en-GB"/>
        </w:rPr>
        <w:t xml:space="preserve"> is also permissible by way of exception</w:t>
      </w:r>
      <w:r>
        <w:rPr>
          <w:lang w:val="en-GB"/>
        </w:rPr>
        <w:t>,</w:t>
      </w:r>
      <w:r w:rsidRPr="005D44D7">
        <w:rPr>
          <w:lang w:val="en-GB"/>
        </w:rPr>
        <w:t xml:space="preserve"> </w:t>
      </w:r>
      <w:r>
        <w:rPr>
          <w:lang w:val="en-GB"/>
        </w:rPr>
        <w:t>provided that</w:t>
      </w:r>
      <w:r w:rsidRPr="005D44D7">
        <w:rPr>
          <w:lang w:val="en-GB"/>
        </w:rPr>
        <w:t xml:space="preserve"> proof of a negative result of an antigen test for SARS-CoV-2</w:t>
      </w:r>
      <w:r>
        <w:rPr>
          <w:lang w:val="en-GB"/>
        </w:rPr>
        <w:t xml:space="preserve"> is presented, issued by</w:t>
      </w:r>
      <w:r w:rsidRPr="005D44D7">
        <w:rPr>
          <w:lang w:val="en-GB"/>
        </w:rPr>
        <w:t xml:space="preserve"> an authorised body</w:t>
      </w:r>
      <w:r>
        <w:rPr>
          <w:lang w:val="en-GB"/>
        </w:rPr>
        <w:t xml:space="preserve"> and</w:t>
      </w:r>
      <w:r w:rsidRPr="005D44D7">
        <w:rPr>
          <w:lang w:val="en-GB"/>
        </w:rPr>
        <w:t xml:space="preserve"> taken no more than 24 hours </w:t>
      </w:r>
      <w:r>
        <w:rPr>
          <w:lang w:val="en-GB"/>
        </w:rPr>
        <w:t>previously</w:t>
      </w:r>
      <w:r>
        <w:rPr>
          <w:lang w:val="en-GB"/>
        </w:rPr>
        <w:t>.</w:t>
      </w:r>
    </w:p>
    <w:p w14:paraId="4D169D9E" w14:textId="77777777" w:rsidR="005D44D7" w:rsidRDefault="005D44D7" w:rsidP="005D44D7">
      <w:pPr>
        <w:ind w:right="116"/>
        <w:rPr>
          <w:lang w:val="en-GB"/>
        </w:rPr>
      </w:pPr>
    </w:p>
    <w:p w14:paraId="2736846E" w14:textId="5E3908E2" w:rsidR="00D25DF1" w:rsidRPr="005D44D7" w:rsidRDefault="005D44D7" w:rsidP="005D44D7">
      <w:pPr>
        <w:ind w:right="116"/>
        <w:rPr>
          <w:lang w:val="en-GB"/>
        </w:rPr>
      </w:pPr>
      <w:r w:rsidRPr="005D44D7">
        <w:rPr>
          <w:lang w:val="en-GB"/>
        </w:rPr>
        <w:t xml:space="preserve"> </w:t>
      </w:r>
    </w:p>
    <w:p w14:paraId="6E7AC13E" w14:textId="77777777" w:rsidR="006F4A84" w:rsidRPr="00872BBF" w:rsidRDefault="00872BBF">
      <w:pPr>
        <w:pStyle w:val="Heading1"/>
        <w:spacing w:before="77"/>
        <w:ind w:left="1660"/>
        <w:rPr>
          <w:lang w:val="en-GB"/>
        </w:rPr>
      </w:pPr>
      <w:r w:rsidRPr="00872BBF">
        <w:rPr>
          <w:lang w:val="en-GB"/>
        </w:rPr>
        <w:t>§</w:t>
      </w:r>
      <w:r w:rsidRPr="00872BBF">
        <w:rPr>
          <w:spacing w:val="-4"/>
          <w:lang w:val="en-GB"/>
        </w:rPr>
        <w:t xml:space="preserve"> </w:t>
      </w:r>
      <w:r w:rsidR="009E7004">
        <w:rPr>
          <w:lang w:val="en-GB"/>
        </w:rPr>
        <w:t>4</w:t>
      </w:r>
      <w:r w:rsidRPr="00872BBF">
        <w:rPr>
          <w:spacing w:val="-7"/>
          <w:lang w:val="en-GB"/>
        </w:rPr>
        <w:t xml:space="preserve"> </w:t>
      </w:r>
      <w:r w:rsidR="008928C8" w:rsidRPr="00872BBF">
        <w:rPr>
          <w:lang w:val="en-GB"/>
        </w:rPr>
        <w:t>Entry into force and expiry</w:t>
      </w:r>
    </w:p>
    <w:p w14:paraId="76545D15" w14:textId="77777777" w:rsidR="006F4A84" w:rsidRPr="00872BBF" w:rsidRDefault="006F4A84">
      <w:pPr>
        <w:pStyle w:val="BodyText"/>
        <w:jc w:val="left"/>
        <w:rPr>
          <w:b/>
          <w:lang w:val="en-GB"/>
        </w:rPr>
      </w:pPr>
    </w:p>
    <w:p w14:paraId="1D83EEAF" w14:textId="77777777" w:rsidR="006F4A84" w:rsidRPr="00872BBF" w:rsidRDefault="008928C8" w:rsidP="00CF6543">
      <w:pPr>
        <w:pStyle w:val="ListParagraph"/>
        <w:numPr>
          <w:ilvl w:val="0"/>
          <w:numId w:val="4"/>
        </w:numPr>
        <w:spacing w:before="0"/>
        <w:ind w:left="567" w:right="116" w:hanging="425"/>
        <w:rPr>
          <w:lang w:val="en-GB"/>
        </w:rPr>
      </w:pPr>
      <w:r w:rsidRPr="00872BBF">
        <w:rPr>
          <w:lang w:val="en-GB"/>
        </w:rPr>
        <w:t>This Regulation shall enter into force on the day following publication in the university bulletin of the University of Klagenfurt and shall expire on 28 February 2022.</w:t>
      </w:r>
    </w:p>
    <w:p w14:paraId="69687362" w14:textId="77777777" w:rsidR="006F4A84" w:rsidRPr="00872BBF" w:rsidRDefault="006F4A84" w:rsidP="00BC5CE8">
      <w:pPr>
        <w:pStyle w:val="BodyText"/>
        <w:spacing w:before="1"/>
        <w:ind w:left="567" w:hanging="452"/>
        <w:rPr>
          <w:lang w:val="en-GB"/>
        </w:rPr>
      </w:pPr>
    </w:p>
    <w:p w14:paraId="671F5F33" w14:textId="7183289B" w:rsidR="006F4A84" w:rsidRDefault="00BC5CE8" w:rsidP="00CF6543">
      <w:pPr>
        <w:pStyle w:val="ListParagraph"/>
        <w:numPr>
          <w:ilvl w:val="0"/>
          <w:numId w:val="4"/>
        </w:numPr>
        <w:tabs>
          <w:tab w:val="left" w:pos="534"/>
        </w:tabs>
        <w:spacing w:before="0"/>
        <w:ind w:left="567" w:right="118" w:hanging="452"/>
        <w:rPr>
          <w:lang w:val="en-GB"/>
        </w:rPr>
      </w:pPr>
      <w:r w:rsidRPr="00872BBF">
        <w:rPr>
          <w:lang w:val="en-GB"/>
        </w:rPr>
        <w:t xml:space="preserve">With the entry into force of this Regulation, the Regulation issued by the Rectorate dated </w:t>
      </w:r>
      <w:r w:rsidR="009E7004">
        <w:rPr>
          <w:lang w:val="en-GB"/>
        </w:rPr>
        <w:t>15</w:t>
      </w:r>
      <w:r w:rsidRPr="00872BBF">
        <w:rPr>
          <w:lang w:val="en-GB"/>
        </w:rPr>
        <w:t xml:space="preserve"> </w:t>
      </w:r>
      <w:r w:rsidR="009E7004">
        <w:rPr>
          <w:lang w:val="en-GB"/>
        </w:rPr>
        <w:t>September</w:t>
      </w:r>
      <w:r w:rsidRPr="00872BBF">
        <w:rPr>
          <w:lang w:val="en-GB"/>
        </w:rPr>
        <w:t xml:space="preserve"> </w:t>
      </w:r>
      <w:r w:rsidR="00872BBF" w:rsidRPr="00872BBF">
        <w:rPr>
          <w:lang w:val="en-GB"/>
        </w:rPr>
        <w:t xml:space="preserve">2021, </w:t>
      </w:r>
      <w:r w:rsidRPr="00872BBF">
        <w:rPr>
          <w:lang w:val="en-GB"/>
        </w:rPr>
        <w:t>university bulletin</w:t>
      </w:r>
      <w:r w:rsidR="00872BBF" w:rsidRPr="00872BBF">
        <w:rPr>
          <w:spacing w:val="-1"/>
          <w:lang w:val="en-GB"/>
        </w:rPr>
        <w:t xml:space="preserve"> </w:t>
      </w:r>
      <w:r w:rsidRPr="00872BBF">
        <w:rPr>
          <w:lang w:val="en-GB"/>
        </w:rPr>
        <w:t>Issue</w:t>
      </w:r>
      <w:r w:rsidR="00872BBF" w:rsidRPr="00872BBF">
        <w:rPr>
          <w:spacing w:val="1"/>
          <w:lang w:val="en-GB"/>
        </w:rPr>
        <w:t xml:space="preserve"> </w:t>
      </w:r>
      <w:r w:rsidR="009E7004">
        <w:rPr>
          <w:lang w:val="en-GB"/>
        </w:rPr>
        <w:t>26</w:t>
      </w:r>
      <w:r w:rsidRPr="00872BBF">
        <w:rPr>
          <w:lang w:val="en-GB"/>
        </w:rPr>
        <w:t>,</w:t>
      </w:r>
      <w:r w:rsidR="00872BBF" w:rsidRPr="00872BBF">
        <w:rPr>
          <w:lang w:val="en-GB"/>
        </w:rPr>
        <w:t xml:space="preserve"> N</w:t>
      </w:r>
      <w:r w:rsidRPr="00872BBF">
        <w:rPr>
          <w:lang w:val="en-GB"/>
        </w:rPr>
        <w:t>o</w:t>
      </w:r>
      <w:r w:rsidR="00872BBF" w:rsidRPr="00872BBF">
        <w:rPr>
          <w:lang w:val="en-GB"/>
        </w:rPr>
        <w:t>.</w:t>
      </w:r>
      <w:r w:rsidR="009E7004">
        <w:rPr>
          <w:lang w:val="en-GB"/>
        </w:rPr>
        <w:t>137.1</w:t>
      </w:r>
      <w:r w:rsidR="00872BBF" w:rsidRPr="00872BBF">
        <w:rPr>
          <w:lang w:val="en-GB"/>
        </w:rPr>
        <w:t>,</w:t>
      </w:r>
      <w:r w:rsidR="00872BBF" w:rsidRPr="00872BBF">
        <w:rPr>
          <w:spacing w:val="1"/>
          <w:lang w:val="en-GB"/>
        </w:rPr>
        <w:t xml:space="preserve"> </w:t>
      </w:r>
      <w:r w:rsidRPr="00872BBF">
        <w:rPr>
          <w:lang w:val="en-GB"/>
        </w:rPr>
        <w:t>shall expire</w:t>
      </w:r>
      <w:r w:rsidR="00872BBF" w:rsidRPr="00872BBF">
        <w:rPr>
          <w:lang w:val="en-GB"/>
        </w:rPr>
        <w:t>.</w:t>
      </w:r>
    </w:p>
    <w:p w14:paraId="207F9A58" w14:textId="77777777" w:rsidR="00D25DF1" w:rsidRPr="00D25DF1" w:rsidRDefault="00D25DF1" w:rsidP="00D25DF1">
      <w:pPr>
        <w:pStyle w:val="ListParagraph"/>
        <w:rPr>
          <w:lang w:val="en-GB"/>
        </w:rPr>
      </w:pPr>
    </w:p>
    <w:p w14:paraId="4FB9A86F" w14:textId="1781CF03" w:rsidR="00D25DF1" w:rsidRPr="00872BBF" w:rsidRDefault="00D25DF1" w:rsidP="00CF6543">
      <w:pPr>
        <w:pStyle w:val="ListParagraph"/>
        <w:numPr>
          <w:ilvl w:val="0"/>
          <w:numId w:val="4"/>
        </w:numPr>
        <w:tabs>
          <w:tab w:val="left" w:pos="534"/>
        </w:tabs>
        <w:spacing w:before="0"/>
        <w:ind w:left="567" w:right="118" w:hanging="452"/>
        <w:rPr>
          <w:lang w:val="en-GB"/>
        </w:rPr>
      </w:pPr>
      <w:r>
        <w:rPr>
          <w:lang w:val="en-GB"/>
        </w:rPr>
        <w:t>§ 3 paragraphs 4 and 5 as published in university bulletin Issue 5, No. 19.1 dated 17 November 2021, shall enter into force on 17 November 2021.</w:t>
      </w:r>
    </w:p>
    <w:sectPr w:rsidR="00D25DF1" w:rsidRPr="00872BBF" w:rsidSect="00CF6543">
      <w:footerReference w:type="default" r:id="rId7"/>
      <w:pgSz w:w="11910" w:h="16840"/>
      <w:pgMar w:top="993"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C567" w14:textId="77777777" w:rsidR="006B479F" w:rsidRDefault="006B479F" w:rsidP="00A46D7A">
      <w:r>
        <w:separator/>
      </w:r>
    </w:p>
  </w:endnote>
  <w:endnote w:type="continuationSeparator" w:id="0">
    <w:p w14:paraId="229F3B74" w14:textId="77777777" w:rsidR="006B479F" w:rsidRDefault="006B479F" w:rsidP="00A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31F9" w14:textId="77777777" w:rsidR="00A46D7A" w:rsidRPr="00A46D7A" w:rsidRDefault="00A46D7A" w:rsidP="00A46D7A">
    <w:pPr>
      <w:pStyle w:val="Footer"/>
      <w:jc w:val="center"/>
      <w:rPr>
        <w:sz w:val="18"/>
        <w:szCs w:val="18"/>
      </w:rPr>
    </w:pPr>
    <w:r w:rsidRPr="00CA2F6C">
      <w:rPr>
        <w:sz w:val="18"/>
        <w:szCs w:val="18"/>
      </w:rPr>
      <w:t xml:space="preserve">Page </w:t>
    </w:r>
    <w:r w:rsidRPr="00CA2F6C">
      <w:rPr>
        <w:sz w:val="18"/>
        <w:szCs w:val="18"/>
      </w:rPr>
      <w:fldChar w:fldCharType="begin"/>
    </w:r>
    <w:r w:rsidRPr="00CA2F6C">
      <w:rPr>
        <w:sz w:val="18"/>
        <w:szCs w:val="18"/>
      </w:rPr>
      <w:instrText xml:space="preserve"> PAGE   \* MERGEFORMAT </w:instrText>
    </w:r>
    <w:r w:rsidRPr="00CA2F6C">
      <w:rPr>
        <w:sz w:val="18"/>
        <w:szCs w:val="18"/>
      </w:rPr>
      <w:fldChar w:fldCharType="separate"/>
    </w:r>
    <w:r>
      <w:rPr>
        <w:sz w:val="18"/>
        <w:szCs w:val="18"/>
      </w:rPr>
      <w:t>1</w:t>
    </w:r>
    <w:r w:rsidRPr="00CA2F6C">
      <w:rPr>
        <w:sz w:val="18"/>
        <w:szCs w:val="18"/>
      </w:rPr>
      <w:fldChar w:fldCharType="end"/>
    </w:r>
    <w:r w:rsidRPr="00CA2F6C">
      <w:rPr>
        <w:sz w:val="18"/>
        <w:szCs w:val="18"/>
      </w:rPr>
      <w:t xml:space="preserve"> </w:t>
    </w:r>
    <w:proofErr w:type="spellStart"/>
    <w:r w:rsidRPr="00CA2F6C">
      <w:rPr>
        <w:sz w:val="18"/>
        <w:szCs w:val="18"/>
      </w:rPr>
      <w:t>of</w:t>
    </w:r>
    <w:proofErr w:type="spellEnd"/>
    <w:r w:rsidRPr="00CA2F6C">
      <w:rPr>
        <w:sz w:val="18"/>
        <w:szCs w:val="18"/>
      </w:rPr>
      <w:t xml:space="preserve"> </w:t>
    </w:r>
    <w:r w:rsidRPr="00CA2F6C">
      <w:rPr>
        <w:sz w:val="18"/>
        <w:szCs w:val="18"/>
      </w:rPr>
      <w:fldChar w:fldCharType="begin"/>
    </w:r>
    <w:r w:rsidRPr="00CA2F6C">
      <w:rPr>
        <w:sz w:val="18"/>
        <w:szCs w:val="18"/>
      </w:rPr>
      <w:instrText xml:space="preserve"> NUMPAGES   \* MERGEFORMAT </w:instrText>
    </w:r>
    <w:r w:rsidRPr="00CA2F6C">
      <w:rPr>
        <w:sz w:val="18"/>
        <w:szCs w:val="18"/>
      </w:rPr>
      <w:fldChar w:fldCharType="separate"/>
    </w:r>
    <w:r>
      <w:rPr>
        <w:sz w:val="18"/>
        <w:szCs w:val="18"/>
      </w:rPr>
      <w:t>4</w:t>
    </w:r>
    <w:r w:rsidRPr="00CA2F6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2C87" w14:textId="77777777" w:rsidR="006B479F" w:rsidRDefault="006B479F" w:rsidP="00A46D7A">
      <w:r>
        <w:separator/>
      </w:r>
    </w:p>
  </w:footnote>
  <w:footnote w:type="continuationSeparator" w:id="0">
    <w:p w14:paraId="45F8BF1C" w14:textId="77777777" w:rsidR="006B479F" w:rsidRDefault="006B479F" w:rsidP="00A4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82FF6"/>
    <w:multiLevelType w:val="hybridMultilevel"/>
    <w:tmpl w:val="7A2C89FE"/>
    <w:lvl w:ilvl="0" w:tplc="4AAAAC72">
      <w:start w:val="1"/>
      <w:numFmt w:val="decimal"/>
      <w:lvlText w:val="(%1)"/>
      <w:lvlJc w:val="left"/>
      <w:pPr>
        <w:ind w:left="543" w:hanging="428"/>
      </w:pPr>
      <w:rPr>
        <w:rFonts w:ascii="Trebuchet MS" w:eastAsia="Trebuchet MS" w:hAnsi="Trebuchet MS" w:cs="Trebuchet MS" w:hint="default"/>
        <w:b w:val="0"/>
        <w:bCs w:val="0"/>
        <w:i w:val="0"/>
        <w:iCs w:val="0"/>
        <w:spacing w:val="-1"/>
        <w:w w:val="100"/>
        <w:sz w:val="22"/>
        <w:szCs w:val="22"/>
        <w:lang w:val="de-AT" w:eastAsia="en-US" w:bidi="ar-SA"/>
      </w:rPr>
    </w:lvl>
    <w:lvl w:ilvl="1" w:tplc="1C08C6D6">
      <w:start w:val="1"/>
      <w:numFmt w:val="decimal"/>
      <w:lvlText w:val="%2."/>
      <w:lvlJc w:val="left"/>
      <w:pPr>
        <w:ind w:left="968" w:hanging="425"/>
      </w:pPr>
      <w:rPr>
        <w:rFonts w:ascii="Trebuchet MS" w:eastAsia="Trebuchet MS" w:hAnsi="Trebuchet MS" w:cs="Trebuchet MS" w:hint="default"/>
        <w:b w:val="0"/>
        <w:bCs w:val="0"/>
        <w:i w:val="0"/>
        <w:iCs w:val="0"/>
        <w:spacing w:val="-1"/>
        <w:w w:val="100"/>
        <w:sz w:val="22"/>
        <w:szCs w:val="22"/>
        <w:lang w:val="de-AT" w:eastAsia="en-US" w:bidi="ar-SA"/>
      </w:rPr>
    </w:lvl>
    <w:lvl w:ilvl="2" w:tplc="732E350A">
      <w:start w:val="1"/>
      <w:numFmt w:val="lowerLetter"/>
      <w:lvlText w:val="%3."/>
      <w:lvlJc w:val="left"/>
      <w:pPr>
        <w:ind w:left="1248" w:hanging="281"/>
      </w:pPr>
      <w:rPr>
        <w:rFonts w:ascii="Trebuchet MS" w:eastAsia="Trebuchet MS" w:hAnsi="Trebuchet MS" w:cs="Trebuchet MS" w:hint="default"/>
        <w:b w:val="0"/>
        <w:bCs w:val="0"/>
        <w:i w:val="0"/>
        <w:iCs w:val="0"/>
        <w:spacing w:val="-1"/>
        <w:w w:val="100"/>
        <w:sz w:val="22"/>
        <w:szCs w:val="22"/>
        <w:lang w:val="de-AT" w:eastAsia="en-US" w:bidi="ar-SA"/>
      </w:rPr>
    </w:lvl>
    <w:lvl w:ilvl="3" w:tplc="3620F89C">
      <w:numFmt w:val="bullet"/>
      <w:lvlText w:val="•"/>
      <w:lvlJc w:val="left"/>
      <w:pPr>
        <w:ind w:left="2248" w:hanging="281"/>
      </w:pPr>
      <w:rPr>
        <w:rFonts w:hint="default"/>
        <w:lang w:val="de-AT" w:eastAsia="en-US" w:bidi="ar-SA"/>
      </w:rPr>
    </w:lvl>
    <w:lvl w:ilvl="4" w:tplc="22CA2A32">
      <w:numFmt w:val="bullet"/>
      <w:lvlText w:val="•"/>
      <w:lvlJc w:val="left"/>
      <w:pPr>
        <w:ind w:left="3256" w:hanging="281"/>
      </w:pPr>
      <w:rPr>
        <w:rFonts w:hint="default"/>
        <w:lang w:val="de-AT" w:eastAsia="en-US" w:bidi="ar-SA"/>
      </w:rPr>
    </w:lvl>
    <w:lvl w:ilvl="5" w:tplc="46F44E18">
      <w:numFmt w:val="bullet"/>
      <w:lvlText w:val="•"/>
      <w:lvlJc w:val="left"/>
      <w:pPr>
        <w:ind w:left="4264" w:hanging="281"/>
      </w:pPr>
      <w:rPr>
        <w:rFonts w:hint="default"/>
        <w:lang w:val="de-AT" w:eastAsia="en-US" w:bidi="ar-SA"/>
      </w:rPr>
    </w:lvl>
    <w:lvl w:ilvl="6" w:tplc="7846A244">
      <w:numFmt w:val="bullet"/>
      <w:lvlText w:val="•"/>
      <w:lvlJc w:val="left"/>
      <w:pPr>
        <w:ind w:left="5273" w:hanging="281"/>
      </w:pPr>
      <w:rPr>
        <w:rFonts w:hint="default"/>
        <w:lang w:val="de-AT" w:eastAsia="en-US" w:bidi="ar-SA"/>
      </w:rPr>
    </w:lvl>
    <w:lvl w:ilvl="7" w:tplc="B066C3BA">
      <w:numFmt w:val="bullet"/>
      <w:lvlText w:val="•"/>
      <w:lvlJc w:val="left"/>
      <w:pPr>
        <w:ind w:left="6281" w:hanging="281"/>
      </w:pPr>
      <w:rPr>
        <w:rFonts w:hint="default"/>
        <w:lang w:val="de-AT" w:eastAsia="en-US" w:bidi="ar-SA"/>
      </w:rPr>
    </w:lvl>
    <w:lvl w:ilvl="8" w:tplc="4A224C26">
      <w:numFmt w:val="bullet"/>
      <w:lvlText w:val="•"/>
      <w:lvlJc w:val="left"/>
      <w:pPr>
        <w:ind w:left="7289" w:hanging="281"/>
      </w:pPr>
      <w:rPr>
        <w:rFonts w:hint="default"/>
        <w:lang w:val="de-AT" w:eastAsia="en-US" w:bidi="ar-SA"/>
      </w:rPr>
    </w:lvl>
  </w:abstractNum>
  <w:abstractNum w:abstractNumId="1" w15:restartNumberingAfterBreak="0">
    <w:nsid w:val="7328105D"/>
    <w:multiLevelType w:val="hybridMultilevel"/>
    <w:tmpl w:val="FEA003F0"/>
    <w:lvl w:ilvl="0" w:tplc="8404FB2E">
      <w:start w:val="1"/>
      <w:numFmt w:val="decimal"/>
      <w:lvlText w:val="(%1)"/>
      <w:lvlJc w:val="left"/>
      <w:pPr>
        <w:ind w:left="116" w:hanging="392"/>
      </w:pPr>
      <w:rPr>
        <w:rFonts w:ascii="Trebuchet MS" w:eastAsia="Trebuchet MS" w:hAnsi="Trebuchet MS" w:cs="Trebuchet MS" w:hint="default"/>
        <w:b w:val="0"/>
        <w:bCs w:val="0"/>
        <w:i w:val="0"/>
        <w:iCs w:val="0"/>
        <w:spacing w:val="-1"/>
        <w:w w:val="100"/>
        <w:sz w:val="22"/>
        <w:szCs w:val="22"/>
        <w:lang w:val="de-AT" w:eastAsia="en-US" w:bidi="ar-SA"/>
      </w:rPr>
    </w:lvl>
    <w:lvl w:ilvl="1" w:tplc="DCECEDAA">
      <w:numFmt w:val="bullet"/>
      <w:lvlText w:val="•"/>
      <w:lvlJc w:val="left"/>
      <w:pPr>
        <w:ind w:left="1038" w:hanging="392"/>
      </w:pPr>
      <w:rPr>
        <w:rFonts w:hint="default"/>
        <w:lang w:val="de-AT" w:eastAsia="en-US" w:bidi="ar-SA"/>
      </w:rPr>
    </w:lvl>
    <w:lvl w:ilvl="2" w:tplc="3DE0387C">
      <w:numFmt w:val="bullet"/>
      <w:lvlText w:val="•"/>
      <w:lvlJc w:val="left"/>
      <w:pPr>
        <w:ind w:left="1957" w:hanging="392"/>
      </w:pPr>
      <w:rPr>
        <w:rFonts w:hint="default"/>
        <w:lang w:val="de-AT" w:eastAsia="en-US" w:bidi="ar-SA"/>
      </w:rPr>
    </w:lvl>
    <w:lvl w:ilvl="3" w:tplc="4C3891BE">
      <w:numFmt w:val="bullet"/>
      <w:lvlText w:val="•"/>
      <w:lvlJc w:val="left"/>
      <w:pPr>
        <w:ind w:left="2875" w:hanging="392"/>
      </w:pPr>
      <w:rPr>
        <w:rFonts w:hint="default"/>
        <w:lang w:val="de-AT" w:eastAsia="en-US" w:bidi="ar-SA"/>
      </w:rPr>
    </w:lvl>
    <w:lvl w:ilvl="4" w:tplc="8C32F400">
      <w:numFmt w:val="bullet"/>
      <w:lvlText w:val="•"/>
      <w:lvlJc w:val="left"/>
      <w:pPr>
        <w:ind w:left="3794" w:hanging="392"/>
      </w:pPr>
      <w:rPr>
        <w:rFonts w:hint="default"/>
        <w:lang w:val="de-AT" w:eastAsia="en-US" w:bidi="ar-SA"/>
      </w:rPr>
    </w:lvl>
    <w:lvl w:ilvl="5" w:tplc="5C221142">
      <w:numFmt w:val="bullet"/>
      <w:lvlText w:val="•"/>
      <w:lvlJc w:val="left"/>
      <w:pPr>
        <w:ind w:left="4713" w:hanging="392"/>
      </w:pPr>
      <w:rPr>
        <w:rFonts w:hint="default"/>
        <w:lang w:val="de-AT" w:eastAsia="en-US" w:bidi="ar-SA"/>
      </w:rPr>
    </w:lvl>
    <w:lvl w:ilvl="6" w:tplc="5F9AF57C">
      <w:numFmt w:val="bullet"/>
      <w:lvlText w:val="•"/>
      <w:lvlJc w:val="left"/>
      <w:pPr>
        <w:ind w:left="5631" w:hanging="392"/>
      </w:pPr>
      <w:rPr>
        <w:rFonts w:hint="default"/>
        <w:lang w:val="de-AT" w:eastAsia="en-US" w:bidi="ar-SA"/>
      </w:rPr>
    </w:lvl>
    <w:lvl w:ilvl="7" w:tplc="39C25570">
      <w:numFmt w:val="bullet"/>
      <w:lvlText w:val="•"/>
      <w:lvlJc w:val="left"/>
      <w:pPr>
        <w:ind w:left="6550" w:hanging="392"/>
      </w:pPr>
      <w:rPr>
        <w:rFonts w:hint="default"/>
        <w:lang w:val="de-AT" w:eastAsia="en-US" w:bidi="ar-SA"/>
      </w:rPr>
    </w:lvl>
    <w:lvl w:ilvl="8" w:tplc="434C0A1C">
      <w:numFmt w:val="bullet"/>
      <w:lvlText w:val="•"/>
      <w:lvlJc w:val="left"/>
      <w:pPr>
        <w:ind w:left="7469" w:hanging="392"/>
      </w:pPr>
      <w:rPr>
        <w:rFonts w:hint="default"/>
        <w:lang w:val="de-AT" w:eastAsia="en-US" w:bidi="ar-SA"/>
      </w:rPr>
    </w:lvl>
  </w:abstractNum>
  <w:abstractNum w:abstractNumId="2" w15:restartNumberingAfterBreak="0">
    <w:nsid w:val="75EF31E7"/>
    <w:multiLevelType w:val="hybridMultilevel"/>
    <w:tmpl w:val="877AF660"/>
    <w:lvl w:ilvl="0" w:tplc="4CF26CFA">
      <w:start w:val="1"/>
      <w:numFmt w:val="decimal"/>
      <w:lvlText w:val="(%1)"/>
      <w:lvlJc w:val="left"/>
      <w:pPr>
        <w:ind w:left="115" w:hanging="377"/>
      </w:pPr>
      <w:rPr>
        <w:rFonts w:ascii="Trebuchet MS" w:eastAsia="Trebuchet MS" w:hAnsi="Trebuchet MS" w:cs="Trebuchet MS" w:hint="default"/>
        <w:b w:val="0"/>
        <w:bCs w:val="0"/>
        <w:i w:val="0"/>
        <w:iCs w:val="0"/>
        <w:spacing w:val="-1"/>
        <w:w w:val="100"/>
        <w:sz w:val="22"/>
        <w:szCs w:val="22"/>
        <w:lang w:val="de-AT" w:eastAsia="en-US" w:bidi="ar-SA"/>
      </w:rPr>
    </w:lvl>
    <w:lvl w:ilvl="1" w:tplc="0C07000F">
      <w:start w:val="1"/>
      <w:numFmt w:val="decimal"/>
      <w:lvlText w:val="%2."/>
      <w:lvlJc w:val="left"/>
      <w:pPr>
        <w:ind w:left="1038" w:hanging="377"/>
      </w:pPr>
      <w:rPr>
        <w:rFonts w:hint="default"/>
        <w:lang w:val="de-AT" w:eastAsia="en-US" w:bidi="ar-SA"/>
      </w:rPr>
    </w:lvl>
    <w:lvl w:ilvl="2" w:tplc="36FA7D5C">
      <w:numFmt w:val="bullet"/>
      <w:lvlText w:val="•"/>
      <w:lvlJc w:val="left"/>
      <w:pPr>
        <w:ind w:left="1957" w:hanging="377"/>
      </w:pPr>
      <w:rPr>
        <w:rFonts w:hint="default"/>
        <w:lang w:val="de-AT" w:eastAsia="en-US" w:bidi="ar-SA"/>
      </w:rPr>
    </w:lvl>
    <w:lvl w:ilvl="3" w:tplc="D8C0CEF2">
      <w:numFmt w:val="bullet"/>
      <w:lvlText w:val="•"/>
      <w:lvlJc w:val="left"/>
      <w:pPr>
        <w:ind w:left="2875" w:hanging="377"/>
      </w:pPr>
      <w:rPr>
        <w:rFonts w:hint="default"/>
        <w:lang w:val="de-AT" w:eastAsia="en-US" w:bidi="ar-SA"/>
      </w:rPr>
    </w:lvl>
    <w:lvl w:ilvl="4" w:tplc="945C045A">
      <w:numFmt w:val="bullet"/>
      <w:lvlText w:val="•"/>
      <w:lvlJc w:val="left"/>
      <w:pPr>
        <w:ind w:left="3794" w:hanging="377"/>
      </w:pPr>
      <w:rPr>
        <w:rFonts w:hint="default"/>
        <w:lang w:val="de-AT" w:eastAsia="en-US" w:bidi="ar-SA"/>
      </w:rPr>
    </w:lvl>
    <w:lvl w:ilvl="5" w:tplc="321CC5FE">
      <w:numFmt w:val="bullet"/>
      <w:lvlText w:val="•"/>
      <w:lvlJc w:val="left"/>
      <w:pPr>
        <w:ind w:left="4713" w:hanging="377"/>
      </w:pPr>
      <w:rPr>
        <w:rFonts w:hint="default"/>
        <w:lang w:val="de-AT" w:eastAsia="en-US" w:bidi="ar-SA"/>
      </w:rPr>
    </w:lvl>
    <w:lvl w:ilvl="6" w:tplc="20E2CDE8">
      <w:numFmt w:val="bullet"/>
      <w:lvlText w:val="•"/>
      <w:lvlJc w:val="left"/>
      <w:pPr>
        <w:ind w:left="5631" w:hanging="377"/>
      </w:pPr>
      <w:rPr>
        <w:rFonts w:hint="default"/>
        <w:lang w:val="de-AT" w:eastAsia="en-US" w:bidi="ar-SA"/>
      </w:rPr>
    </w:lvl>
    <w:lvl w:ilvl="7" w:tplc="D4C88AC2">
      <w:numFmt w:val="bullet"/>
      <w:lvlText w:val="•"/>
      <w:lvlJc w:val="left"/>
      <w:pPr>
        <w:ind w:left="6550" w:hanging="377"/>
      </w:pPr>
      <w:rPr>
        <w:rFonts w:hint="default"/>
        <w:lang w:val="de-AT" w:eastAsia="en-US" w:bidi="ar-SA"/>
      </w:rPr>
    </w:lvl>
    <w:lvl w:ilvl="8" w:tplc="DF8803A8">
      <w:numFmt w:val="bullet"/>
      <w:lvlText w:val="•"/>
      <w:lvlJc w:val="left"/>
      <w:pPr>
        <w:ind w:left="7469" w:hanging="377"/>
      </w:pPr>
      <w:rPr>
        <w:rFonts w:hint="default"/>
        <w:lang w:val="de-AT" w:eastAsia="en-US" w:bidi="ar-SA"/>
      </w:rPr>
    </w:lvl>
  </w:abstractNum>
  <w:abstractNum w:abstractNumId="3" w15:restartNumberingAfterBreak="0">
    <w:nsid w:val="7FEB3385"/>
    <w:multiLevelType w:val="hybridMultilevel"/>
    <w:tmpl w:val="877AF660"/>
    <w:lvl w:ilvl="0" w:tplc="4CF26CFA">
      <w:start w:val="1"/>
      <w:numFmt w:val="decimal"/>
      <w:lvlText w:val="(%1)"/>
      <w:lvlJc w:val="left"/>
      <w:pPr>
        <w:ind w:left="115" w:hanging="377"/>
      </w:pPr>
      <w:rPr>
        <w:rFonts w:ascii="Trebuchet MS" w:eastAsia="Trebuchet MS" w:hAnsi="Trebuchet MS" w:cs="Trebuchet MS" w:hint="default"/>
        <w:b w:val="0"/>
        <w:bCs w:val="0"/>
        <w:i w:val="0"/>
        <w:iCs w:val="0"/>
        <w:spacing w:val="-1"/>
        <w:w w:val="100"/>
        <w:sz w:val="22"/>
        <w:szCs w:val="22"/>
        <w:lang w:val="de-AT" w:eastAsia="en-US" w:bidi="ar-SA"/>
      </w:rPr>
    </w:lvl>
    <w:lvl w:ilvl="1" w:tplc="0C07000F">
      <w:start w:val="1"/>
      <w:numFmt w:val="decimal"/>
      <w:lvlText w:val="%2."/>
      <w:lvlJc w:val="left"/>
      <w:pPr>
        <w:ind w:left="1038" w:hanging="377"/>
      </w:pPr>
      <w:rPr>
        <w:rFonts w:hint="default"/>
        <w:lang w:val="de-AT" w:eastAsia="en-US" w:bidi="ar-SA"/>
      </w:rPr>
    </w:lvl>
    <w:lvl w:ilvl="2" w:tplc="36FA7D5C">
      <w:numFmt w:val="bullet"/>
      <w:lvlText w:val="•"/>
      <w:lvlJc w:val="left"/>
      <w:pPr>
        <w:ind w:left="1957" w:hanging="377"/>
      </w:pPr>
      <w:rPr>
        <w:rFonts w:hint="default"/>
        <w:lang w:val="de-AT" w:eastAsia="en-US" w:bidi="ar-SA"/>
      </w:rPr>
    </w:lvl>
    <w:lvl w:ilvl="3" w:tplc="D8C0CEF2">
      <w:numFmt w:val="bullet"/>
      <w:lvlText w:val="•"/>
      <w:lvlJc w:val="left"/>
      <w:pPr>
        <w:ind w:left="2875" w:hanging="377"/>
      </w:pPr>
      <w:rPr>
        <w:rFonts w:hint="default"/>
        <w:lang w:val="de-AT" w:eastAsia="en-US" w:bidi="ar-SA"/>
      </w:rPr>
    </w:lvl>
    <w:lvl w:ilvl="4" w:tplc="945C045A">
      <w:numFmt w:val="bullet"/>
      <w:lvlText w:val="•"/>
      <w:lvlJc w:val="left"/>
      <w:pPr>
        <w:ind w:left="3794" w:hanging="377"/>
      </w:pPr>
      <w:rPr>
        <w:rFonts w:hint="default"/>
        <w:lang w:val="de-AT" w:eastAsia="en-US" w:bidi="ar-SA"/>
      </w:rPr>
    </w:lvl>
    <w:lvl w:ilvl="5" w:tplc="321CC5FE">
      <w:numFmt w:val="bullet"/>
      <w:lvlText w:val="•"/>
      <w:lvlJc w:val="left"/>
      <w:pPr>
        <w:ind w:left="4713" w:hanging="377"/>
      </w:pPr>
      <w:rPr>
        <w:rFonts w:hint="default"/>
        <w:lang w:val="de-AT" w:eastAsia="en-US" w:bidi="ar-SA"/>
      </w:rPr>
    </w:lvl>
    <w:lvl w:ilvl="6" w:tplc="20E2CDE8">
      <w:numFmt w:val="bullet"/>
      <w:lvlText w:val="•"/>
      <w:lvlJc w:val="left"/>
      <w:pPr>
        <w:ind w:left="5631" w:hanging="377"/>
      </w:pPr>
      <w:rPr>
        <w:rFonts w:hint="default"/>
        <w:lang w:val="de-AT" w:eastAsia="en-US" w:bidi="ar-SA"/>
      </w:rPr>
    </w:lvl>
    <w:lvl w:ilvl="7" w:tplc="D4C88AC2">
      <w:numFmt w:val="bullet"/>
      <w:lvlText w:val="•"/>
      <w:lvlJc w:val="left"/>
      <w:pPr>
        <w:ind w:left="6550" w:hanging="377"/>
      </w:pPr>
      <w:rPr>
        <w:rFonts w:hint="default"/>
        <w:lang w:val="de-AT" w:eastAsia="en-US" w:bidi="ar-SA"/>
      </w:rPr>
    </w:lvl>
    <w:lvl w:ilvl="8" w:tplc="DF8803A8">
      <w:numFmt w:val="bullet"/>
      <w:lvlText w:val="•"/>
      <w:lvlJc w:val="left"/>
      <w:pPr>
        <w:ind w:left="7469" w:hanging="377"/>
      </w:pPr>
      <w:rPr>
        <w:rFonts w:hint="default"/>
        <w:lang w:val="de-AT"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84"/>
    <w:rsid w:val="00004C3C"/>
    <w:rsid w:val="00095C7E"/>
    <w:rsid w:val="002640E4"/>
    <w:rsid w:val="00281058"/>
    <w:rsid w:val="002A5594"/>
    <w:rsid w:val="0052756A"/>
    <w:rsid w:val="00573F02"/>
    <w:rsid w:val="00591199"/>
    <w:rsid w:val="005B2547"/>
    <w:rsid w:val="005D44D7"/>
    <w:rsid w:val="0064369D"/>
    <w:rsid w:val="006B479F"/>
    <w:rsid w:val="006B6082"/>
    <w:rsid w:val="006F4A84"/>
    <w:rsid w:val="007228F3"/>
    <w:rsid w:val="007350D3"/>
    <w:rsid w:val="00746FD2"/>
    <w:rsid w:val="007915E6"/>
    <w:rsid w:val="00830A1A"/>
    <w:rsid w:val="00872BBF"/>
    <w:rsid w:val="00883933"/>
    <w:rsid w:val="008928C8"/>
    <w:rsid w:val="008F59A0"/>
    <w:rsid w:val="00942021"/>
    <w:rsid w:val="009B18B4"/>
    <w:rsid w:val="009E7004"/>
    <w:rsid w:val="00A46D7A"/>
    <w:rsid w:val="00BC5CE8"/>
    <w:rsid w:val="00BD1CB6"/>
    <w:rsid w:val="00C544AF"/>
    <w:rsid w:val="00CC406A"/>
    <w:rsid w:val="00CF6543"/>
    <w:rsid w:val="00D25DF1"/>
    <w:rsid w:val="00ED6AB3"/>
    <w:rsid w:val="00EF4D4E"/>
    <w:rsid w:val="00F36F7B"/>
    <w:rsid w:val="00F90D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99CD"/>
  <w15:docId w15:val="{57579AE1-9558-4961-8350-7746128A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de-AT"/>
    </w:rPr>
  </w:style>
  <w:style w:type="paragraph" w:styleId="Heading1">
    <w:name w:val="heading 1"/>
    <w:basedOn w:val="Normal"/>
    <w:uiPriority w:val="9"/>
    <w:qFormat/>
    <w:pPr>
      <w:ind w:left="346" w:right="166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jc w:val="both"/>
    </w:pPr>
  </w:style>
  <w:style w:type="paragraph" w:styleId="ListParagraph">
    <w:name w:val="List Paragraph"/>
    <w:basedOn w:val="Normal"/>
    <w:uiPriority w:val="1"/>
    <w:qFormat/>
    <w:pPr>
      <w:spacing w:before="119"/>
      <w:ind w:left="543" w:right="115" w:hanging="428"/>
      <w:jc w:val="both"/>
    </w:pPr>
  </w:style>
  <w:style w:type="paragraph" w:customStyle="1" w:styleId="TableParagraph">
    <w:name w:val="Table Paragraph"/>
    <w:basedOn w:val="Normal"/>
    <w:uiPriority w:val="1"/>
    <w:qFormat/>
  </w:style>
  <w:style w:type="paragraph" w:customStyle="1" w:styleId="Style4">
    <w:name w:val="Style4"/>
    <w:basedOn w:val="Normal"/>
    <w:uiPriority w:val="99"/>
    <w:rsid w:val="00591199"/>
    <w:pPr>
      <w:adjustRightInd w:val="0"/>
      <w:spacing w:line="293" w:lineRule="exact"/>
      <w:jc w:val="both"/>
    </w:pPr>
    <w:rPr>
      <w:rFonts w:eastAsiaTheme="minorEastAsia" w:cstheme="minorBidi"/>
      <w:sz w:val="24"/>
      <w:szCs w:val="24"/>
      <w:lang w:val="en-GB" w:eastAsia="zh-CN"/>
    </w:rPr>
  </w:style>
  <w:style w:type="character" w:customStyle="1" w:styleId="FontStyle11">
    <w:name w:val="Font Style11"/>
    <w:basedOn w:val="DefaultParagraphFont"/>
    <w:uiPriority w:val="99"/>
    <w:rsid w:val="00591199"/>
    <w:rPr>
      <w:rFonts w:ascii="Trebuchet MS" w:hAnsi="Trebuchet MS" w:cs="Trebuchet MS"/>
      <w:b/>
      <w:bCs/>
      <w:color w:val="000000"/>
      <w:sz w:val="20"/>
      <w:szCs w:val="20"/>
    </w:rPr>
  </w:style>
  <w:style w:type="character" w:customStyle="1" w:styleId="FontStyle12">
    <w:name w:val="Font Style12"/>
    <w:basedOn w:val="DefaultParagraphFont"/>
    <w:uiPriority w:val="99"/>
    <w:rsid w:val="00591199"/>
    <w:rPr>
      <w:rFonts w:ascii="Trebuchet MS" w:hAnsi="Trebuchet MS" w:cs="Trebuchet MS"/>
      <w:color w:val="000000"/>
      <w:sz w:val="20"/>
      <w:szCs w:val="20"/>
    </w:rPr>
  </w:style>
  <w:style w:type="paragraph" w:styleId="Header">
    <w:name w:val="header"/>
    <w:basedOn w:val="Normal"/>
    <w:link w:val="HeaderChar"/>
    <w:uiPriority w:val="99"/>
    <w:unhideWhenUsed/>
    <w:rsid w:val="00A46D7A"/>
    <w:pPr>
      <w:tabs>
        <w:tab w:val="center" w:pos="4536"/>
        <w:tab w:val="right" w:pos="9072"/>
      </w:tabs>
    </w:pPr>
  </w:style>
  <w:style w:type="character" w:customStyle="1" w:styleId="HeaderChar">
    <w:name w:val="Header Char"/>
    <w:basedOn w:val="DefaultParagraphFont"/>
    <w:link w:val="Header"/>
    <w:uiPriority w:val="99"/>
    <w:rsid w:val="00A46D7A"/>
    <w:rPr>
      <w:rFonts w:ascii="Trebuchet MS" w:eastAsia="Trebuchet MS" w:hAnsi="Trebuchet MS" w:cs="Trebuchet MS"/>
      <w:lang w:val="de-AT"/>
    </w:rPr>
  </w:style>
  <w:style w:type="paragraph" w:styleId="Footer">
    <w:name w:val="footer"/>
    <w:basedOn w:val="Normal"/>
    <w:link w:val="FooterChar"/>
    <w:uiPriority w:val="99"/>
    <w:unhideWhenUsed/>
    <w:rsid w:val="00A46D7A"/>
    <w:pPr>
      <w:tabs>
        <w:tab w:val="center" w:pos="4536"/>
        <w:tab w:val="right" w:pos="9072"/>
      </w:tabs>
    </w:pPr>
  </w:style>
  <w:style w:type="character" w:customStyle="1" w:styleId="FooterChar">
    <w:name w:val="Footer Char"/>
    <w:basedOn w:val="DefaultParagraphFont"/>
    <w:link w:val="Footer"/>
    <w:uiPriority w:val="99"/>
    <w:rsid w:val="00A46D7A"/>
    <w:rPr>
      <w:rFonts w:ascii="Trebuchet MS" w:eastAsia="Trebuchet MS" w:hAnsi="Trebuchet MS" w:cs="Trebuchet M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1160</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Hattenberger</dc:creator>
  <cp:lastModifiedBy>Meehan, Karen</cp:lastModifiedBy>
  <cp:revision>7</cp:revision>
  <dcterms:created xsi:type="dcterms:W3CDTF">2021-11-18T07:40:00Z</dcterms:created>
  <dcterms:modified xsi:type="dcterms:W3CDTF">2021-11-18T08:00:00Z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Acrobat PDFMaker 11 für Word</vt:lpwstr>
  </property>
  <property fmtid="{D5CDD505-2E9C-101B-9397-08002B2CF9AE}" pid="4" name="LastSaved">
    <vt:filetime>2021-09-16T00:00:00Z</vt:filetime>
  </property>
</Properties>
</file>